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C6" w:rsidRDefault="00C76CD6" w:rsidP="008870AE">
      <w:pPr>
        <w:pStyle w:val="BodyText"/>
        <w:jc w:val="center"/>
        <w:rPr>
          <w:b w:val="0"/>
          <w:sz w:val="28"/>
          <w:szCs w:val="28"/>
        </w:rPr>
      </w:pPr>
      <w:r>
        <w:rPr>
          <w:rFonts w:ascii="Cambria" w:hAnsi="Cambria"/>
          <w:sz w:val="28"/>
          <w:lang w:val="it-IT"/>
        </w:rPr>
        <w:t>RESESI DAN DAMPAKNY</w:t>
      </w:r>
      <w:r w:rsidR="008870AE">
        <w:rPr>
          <w:rFonts w:ascii="Cambria" w:hAnsi="Cambria"/>
          <w:sz w:val="28"/>
          <w:lang w:val="it-IT"/>
        </w:rPr>
        <w:t xml:space="preserve">A PADA HUBUNGAN MANAJEMEN MODAL KERJA DAN PROFITABILITAS </w:t>
      </w:r>
    </w:p>
    <w:p w:rsidR="002C505F" w:rsidRPr="008870AE" w:rsidRDefault="002C505F" w:rsidP="002C505F">
      <w:pPr>
        <w:jc w:val="center"/>
        <w:rPr>
          <w:rFonts w:ascii="Cambria" w:eastAsia="Times New Roman" w:hAnsi="Cambria" w:cs="Times New Roman"/>
          <w:b/>
          <w:sz w:val="28"/>
          <w:szCs w:val="28"/>
        </w:rPr>
      </w:pPr>
    </w:p>
    <w:p w:rsidR="002C505F" w:rsidRDefault="002C505F" w:rsidP="002C505F">
      <w:pPr>
        <w:rPr>
          <w:sz w:val="20"/>
        </w:rPr>
      </w:pPr>
      <w:bookmarkStart w:id="0" w:name="_GoBack"/>
      <w:bookmarkEnd w:id="0"/>
    </w:p>
    <w:p w:rsidR="002C505F" w:rsidRPr="008870AE" w:rsidRDefault="002C505F" w:rsidP="001939E3">
      <w:pPr>
        <w:spacing w:after="0" w:line="240" w:lineRule="auto"/>
        <w:rPr>
          <w:rFonts w:ascii="Cambria" w:hAnsi="Cambria" w:cs="Times New Roman"/>
          <w:b/>
          <w:i/>
          <w:sz w:val="24"/>
          <w:szCs w:val="24"/>
        </w:rPr>
      </w:pPr>
      <w:r w:rsidRPr="008870AE">
        <w:rPr>
          <w:rFonts w:ascii="Cambria" w:hAnsi="Cambria" w:cs="Times New Roman"/>
          <w:b/>
          <w:i/>
          <w:sz w:val="24"/>
          <w:szCs w:val="24"/>
        </w:rPr>
        <w:t>ABSTRACT</w:t>
      </w:r>
    </w:p>
    <w:p w:rsidR="00D6229B" w:rsidRPr="008870AE" w:rsidRDefault="00D6229B" w:rsidP="001939E3">
      <w:pPr>
        <w:spacing w:after="100" w:line="240" w:lineRule="auto"/>
        <w:ind w:firstLine="426"/>
        <w:jc w:val="both"/>
        <w:rPr>
          <w:rFonts w:ascii="Cambria" w:eastAsia="Times New Roman" w:hAnsi="Cambria" w:cs="Times New Roman"/>
          <w:i/>
          <w:sz w:val="24"/>
          <w:szCs w:val="24"/>
        </w:rPr>
      </w:pPr>
      <w:r w:rsidRPr="008870AE">
        <w:rPr>
          <w:rFonts w:ascii="Cambria" w:eastAsia="Times New Roman" w:hAnsi="Cambria" w:cs="Times New Roman"/>
          <w:i/>
          <w:sz w:val="24"/>
          <w:szCs w:val="24"/>
        </w:rPr>
        <w:t xml:space="preserve">This study </w:t>
      </w:r>
      <w:r w:rsidR="00A20D09">
        <w:rPr>
          <w:rFonts w:ascii="Cambria" w:eastAsia="Times New Roman" w:hAnsi="Cambria" w:cs="Times New Roman"/>
          <w:i/>
          <w:sz w:val="24"/>
          <w:szCs w:val="24"/>
        </w:rPr>
        <w:t>exa</w:t>
      </w:r>
      <w:r w:rsidR="002F7C9A">
        <w:rPr>
          <w:rFonts w:ascii="Cambria" w:eastAsia="Times New Roman" w:hAnsi="Cambria" w:cs="Times New Roman"/>
          <w:i/>
          <w:sz w:val="24"/>
          <w:szCs w:val="24"/>
        </w:rPr>
        <w:t>mine</w:t>
      </w:r>
      <w:r w:rsidRPr="008870AE">
        <w:rPr>
          <w:rFonts w:ascii="Cambria" w:eastAsia="Times New Roman" w:hAnsi="Cambria" w:cs="Times New Roman"/>
          <w:i/>
          <w:sz w:val="24"/>
          <w:szCs w:val="24"/>
        </w:rPr>
        <w:t xml:space="preserve">s the impact of recession on the relationship of working capital management and profitability. </w:t>
      </w:r>
      <w:r w:rsidR="00C76905" w:rsidRPr="008870AE">
        <w:rPr>
          <w:rFonts w:ascii="Cambria" w:eastAsia="Times New Roman" w:hAnsi="Cambria" w:cs="Times New Roman"/>
          <w:i/>
          <w:sz w:val="24"/>
          <w:szCs w:val="24"/>
        </w:rPr>
        <w:t xml:space="preserve">Using a sample of 3,012 firm-year observations for Southeast Asia’s non financial firms over the period 2000-2016, we find evidence that cash conversion cycle </w:t>
      </w:r>
      <w:r w:rsidR="002F7C9A">
        <w:rPr>
          <w:rFonts w:ascii="Cambria" w:eastAsia="Times New Roman" w:hAnsi="Cambria" w:cs="Times New Roman"/>
          <w:i/>
          <w:sz w:val="24"/>
          <w:szCs w:val="24"/>
        </w:rPr>
        <w:t>significantly improves profitability</w:t>
      </w:r>
      <w:r w:rsidR="00C76905" w:rsidRPr="008870AE">
        <w:rPr>
          <w:rFonts w:ascii="Cambria" w:eastAsia="Times New Roman" w:hAnsi="Cambria" w:cs="Times New Roman"/>
          <w:i/>
          <w:sz w:val="24"/>
          <w:szCs w:val="24"/>
        </w:rPr>
        <w:t xml:space="preserve">. </w:t>
      </w:r>
      <w:r w:rsidR="00357B39" w:rsidRPr="008870AE">
        <w:rPr>
          <w:rFonts w:ascii="Cambria" w:eastAsia="Times New Roman" w:hAnsi="Cambria" w:cs="Times New Roman"/>
          <w:i/>
          <w:sz w:val="24"/>
          <w:szCs w:val="24"/>
        </w:rPr>
        <w:t>Moreover,</w:t>
      </w:r>
      <w:r w:rsidR="00C76905" w:rsidRPr="008870AE">
        <w:rPr>
          <w:rFonts w:ascii="Cambria" w:eastAsia="Times New Roman" w:hAnsi="Cambria" w:cs="Times New Roman"/>
          <w:i/>
          <w:sz w:val="24"/>
          <w:szCs w:val="24"/>
        </w:rPr>
        <w:t xml:space="preserve"> the recession </w:t>
      </w:r>
      <w:r w:rsidR="002F7C9A">
        <w:rPr>
          <w:rFonts w:ascii="Cambria" w:eastAsia="Times New Roman" w:hAnsi="Cambria" w:cs="Times New Roman"/>
          <w:i/>
          <w:sz w:val="24"/>
          <w:szCs w:val="24"/>
        </w:rPr>
        <w:t>time fails to</w:t>
      </w:r>
      <w:r w:rsidR="00C76905" w:rsidRPr="008870AE">
        <w:rPr>
          <w:rFonts w:ascii="Cambria" w:eastAsia="Times New Roman" w:hAnsi="Cambria" w:cs="Times New Roman"/>
          <w:i/>
          <w:sz w:val="24"/>
          <w:szCs w:val="24"/>
        </w:rPr>
        <w:t xml:space="preserve"> moderate the re</w:t>
      </w:r>
      <w:r w:rsidR="002F7C9A">
        <w:rPr>
          <w:rFonts w:ascii="Cambria" w:eastAsia="Times New Roman" w:hAnsi="Cambria" w:cs="Times New Roman"/>
          <w:i/>
          <w:sz w:val="24"/>
          <w:szCs w:val="24"/>
        </w:rPr>
        <w:t>lationship between working capital dan profitability. The economic situations do not change the relationship of two variables.</w:t>
      </w:r>
      <w:r w:rsidR="00C76905" w:rsidRPr="008870AE">
        <w:rPr>
          <w:rFonts w:ascii="Cambria" w:eastAsia="Times New Roman" w:hAnsi="Cambria" w:cs="Times New Roman"/>
          <w:i/>
          <w:sz w:val="24"/>
          <w:szCs w:val="24"/>
        </w:rPr>
        <w:t xml:space="preserve"> Our investigations encourage management to </w:t>
      </w:r>
      <w:r w:rsidR="002F7C9A">
        <w:rPr>
          <w:rFonts w:ascii="Cambria" w:eastAsia="Times New Roman" w:hAnsi="Cambria" w:cs="Times New Roman"/>
          <w:i/>
          <w:sz w:val="24"/>
          <w:szCs w:val="24"/>
        </w:rPr>
        <w:t>retain</w:t>
      </w:r>
      <w:r w:rsidR="00C76905" w:rsidRPr="008870AE">
        <w:rPr>
          <w:rFonts w:ascii="Cambria" w:eastAsia="Times New Roman" w:hAnsi="Cambria" w:cs="Times New Roman"/>
          <w:i/>
          <w:sz w:val="24"/>
          <w:szCs w:val="24"/>
        </w:rPr>
        <w:t xml:space="preserve"> a balance between liquidity and profitability.</w:t>
      </w:r>
    </w:p>
    <w:p w:rsidR="00D6229B" w:rsidRPr="008870AE" w:rsidRDefault="00D6229B" w:rsidP="001939E3">
      <w:pPr>
        <w:spacing w:after="100" w:line="240" w:lineRule="auto"/>
        <w:ind w:firstLine="426"/>
        <w:jc w:val="both"/>
        <w:rPr>
          <w:rFonts w:ascii="Cambria" w:eastAsia="Times New Roman" w:hAnsi="Cambria" w:cs="Times New Roman"/>
          <w:i/>
          <w:sz w:val="24"/>
          <w:szCs w:val="24"/>
        </w:rPr>
      </w:pPr>
    </w:p>
    <w:p w:rsidR="009A3B13" w:rsidRPr="008870AE" w:rsidRDefault="009A3B13" w:rsidP="009A3B13">
      <w:pPr>
        <w:spacing w:after="0" w:line="240" w:lineRule="auto"/>
        <w:jc w:val="both"/>
        <w:rPr>
          <w:rFonts w:ascii="Cambria" w:eastAsia="Times New Roman" w:hAnsi="Cambria" w:cs="Times New Roman"/>
          <w:i/>
          <w:sz w:val="24"/>
          <w:szCs w:val="24"/>
        </w:rPr>
      </w:pPr>
      <w:r w:rsidRPr="008870AE">
        <w:rPr>
          <w:rFonts w:ascii="Cambria" w:eastAsia="Times New Roman" w:hAnsi="Cambria" w:cs="Times New Roman"/>
          <w:b/>
          <w:i/>
          <w:sz w:val="24"/>
          <w:szCs w:val="24"/>
        </w:rPr>
        <w:t xml:space="preserve">Keywords: </w:t>
      </w:r>
      <w:r w:rsidR="00357B39" w:rsidRPr="008870AE">
        <w:rPr>
          <w:rFonts w:ascii="Cambria" w:eastAsia="Times New Roman" w:hAnsi="Cambria" w:cs="Times New Roman"/>
          <w:i/>
          <w:sz w:val="24"/>
          <w:szCs w:val="24"/>
        </w:rPr>
        <w:t xml:space="preserve">cash conversion cycle, </w:t>
      </w:r>
      <w:r w:rsidRPr="008870AE">
        <w:rPr>
          <w:rFonts w:ascii="Cambria" w:eastAsia="Times New Roman" w:hAnsi="Cambria" w:cs="Times New Roman"/>
          <w:i/>
          <w:sz w:val="24"/>
          <w:szCs w:val="24"/>
        </w:rPr>
        <w:t>working capital, profitability, recession, Southeast Asia</w:t>
      </w:r>
    </w:p>
    <w:p w:rsidR="002C505F" w:rsidRPr="008870AE" w:rsidRDefault="002C505F" w:rsidP="009A3B13">
      <w:pPr>
        <w:spacing w:line="240" w:lineRule="auto"/>
        <w:rPr>
          <w:rFonts w:ascii="Cambria" w:hAnsi="Cambria" w:cs="Times New Roman"/>
          <w:b/>
          <w:sz w:val="24"/>
          <w:szCs w:val="24"/>
        </w:rPr>
      </w:pPr>
    </w:p>
    <w:p w:rsidR="00D6229B" w:rsidRPr="008870AE" w:rsidRDefault="00D6229B" w:rsidP="00D6229B">
      <w:pPr>
        <w:spacing w:after="0" w:line="240" w:lineRule="auto"/>
        <w:jc w:val="both"/>
        <w:rPr>
          <w:rFonts w:ascii="Cambria" w:eastAsia="Times New Roman" w:hAnsi="Cambria" w:cs="Times New Roman"/>
          <w:sz w:val="24"/>
          <w:szCs w:val="24"/>
        </w:rPr>
      </w:pPr>
      <w:proofErr w:type="gramStart"/>
      <w:r w:rsidRPr="008870AE">
        <w:rPr>
          <w:rFonts w:ascii="Cambria" w:eastAsia="Times New Roman" w:hAnsi="Cambria" w:cs="Times New Roman"/>
          <w:b/>
          <w:sz w:val="24"/>
          <w:szCs w:val="24"/>
        </w:rPr>
        <w:t>Abstrak :</w:t>
      </w:r>
      <w:proofErr w:type="gramEnd"/>
      <w:r w:rsidRPr="008870AE">
        <w:rPr>
          <w:rFonts w:ascii="Cambria" w:eastAsia="Times New Roman" w:hAnsi="Cambria" w:cs="Times New Roman"/>
          <w:sz w:val="24"/>
          <w:szCs w:val="24"/>
        </w:rPr>
        <w:t xml:space="preserve"> </w:t>
      </w:r>
    </w:p>
    <w:p w:rsidR="00D6229B" w:rsidRPr="008870AE" w:rsidRDefault="00D6229B" w:rsidP="00D6229B">
      <w:pPr>
        <w:spacing w:line="240" w:lineRule="auto"/>
        <w:ind w:firstLine="720"/>
        <w:jc w:val="both"/>
        <w:rPr>
          <w:rFonts w:ascii="Cambria" w:eastAsia="Times New Roman" w:hAnsi="Cambria" w:cs="Times New Roman"/>
          <w:sz w:val="24"/>
          <w:szCs w:val="24"/>
        </w:rPr>
      </w:pPr>
      <w:r w:rsidRPr="008870AE">
        <w:rPr>
          <w:rFonts w:ascii="Cambria" w:eastAsia="Times New Roman" w:hAnsi="Cambria" w:cs="Times New Roman"/>
          <w:sz w:val="24"/>
          <w:szCs w:val="24"/>
        </w:rPr>
        <w:t>Penelitian ini dilakukan untuk menguji pengaruh kondisi resesi terhadap hubungan manajemen modal kerja da</w:t>
      </w:r>
      <w:r w:rsidR="002F7C9A">
        <w:rPr>
          <w:rFonts w:ascii="Cambria" w:eastAsia="Times New Roman" w:hAnsi="Cambria" w:cs="Times New Roman"/>
          <w:sz w:val="24"/>
          <w:szCs w:val="24"/>
        </w:rPr>
        <w:t xml:space="preserve">n profitabilitas. </w:t>
      </w:r>
      <w:r w:rsidRPr="008870AE">
        <w:rPr>
          <w:rFonts w:ascii="Cambria" w:eastAsia="Times New Roman" w:hAnsi="Cambria" w:cs="Times New Roman"/>
          <w:sz w:val="24"/>
          <w:szCs w:val="24"/>
        </w:rPr>
        <w:t xml:space="preserve">3.012 perusahaan terbuka </w:t>
      </w:r>
      <w:r w:rsidR="002F7C9A">
        <w:rPr>
          <w:rFonts w:ascii="Cambria" w:eastAsia="Times New Roman" w:hAnsi="Cambria" w:cs="Times New Roman"/>
          <w:sz w:val="24"/>
          <w:szCs w:val="24"/>
        </w:rPr>
        <w:t xml:space="preserve">di Asia Tenggara </w:t>
      </w:r>
      <w:proofErr w:type="gramStart"/>
      <w:r w:rsidR="002F7C9A">
        <w:rPr>
          <w:rFonts w:ascii="Cambria" w:eastAsia="Times New Roman" w:hAnsi="Cambria" w:cs="Times New Roman"/>
          <w:sz w:val="24"/>
          <w:szCs w:val="24"/>
        </w:rPr>
        <w:t>digunakan</w:t>
      </w:r>
      <w:proofErr w:type="gramEnd"/>
      <w:r w:rsidR="002F7C9A">
        <w:rPr>
          <w:rFonts w:ascii="Cambria" w:eastAsia="Times New Roman" w:hAnsi="Cambria" w:cs="Times New Roman"/>
          <w:sz w:val="24"/>
          <w:szCs w:val="24"/>
        </w:rPr>
        <w:t xml:space="preserve"> sebagai sampel </w:t>
      </w:r>
      <w:r w:rsidRPr="008870AE">
        <w:rPr>
          <w:rFonts w:ascii="Cambria" w:eastAsia="Times New Roman" w:hAnsi="Cambria" w:cs="Times New Roman"/>
          <w:sz w:val="24"/>
          <w:szCs w:val="24"/>
        </w:rPr>
        <w:t xml:space="preserve">pada periode observasi 2000-2016. </w:t>
      </w:r>
      <w:r w:rsidR="007252F7">
        <w:rPr>
          <w:rFonts w:ascii="Cambria" w:eastAsia="Times New Roman" w:hAnsi="Cambria" w:cs="Times New Roman"/>
          <w:sz w:val="24"/>
          <w:szCs w:val="24"/>
        </w:rPr>
        <w:t>Temuan penelitian ini</w:t>
      </w:r>
      <w:r w:rsidRPr="008870AE">
        <w:rPr>
          <w:rFonts w:ascii="Cambria" w:eastAsia="Times New Roman" w:hAnsi="Cambria" w:cs="Times New Roman"/>
          <w:sz w:val="24"/>
          <w:szCs w:val="24"/>
        </w:rPr>
        <w:t xml:space="preserve"> menunjukkan bahwa </w:t>
      </w:r>
      <w:r w:rsidRPr="008870AE">
        <w:rPr>
          <w:rFonts w:ascii="Cambria" w:eastAsia="Times New Roman" w:hAnsi="Cambria" w:cs="Times New Roman"/>
          <w:i/>
          <w:sz w:val="24"/>
          <w:szCs w:val="24"/>
        </w:rPr>
        <w:t>cash conversion cycle</w:t>
      </w:r>
      <w:r w:rsidRPr="008870AE">
        <w:rPr>
          <w:rFonts w:ascii="Cambria" w:eastAsia="Times New Roman" w:hAnsi="Cambria" w:cs="Times New Roman"/>
          <w:sz w:val="24"/>
          <w:szCs w:val="24"/>
        </w:rPr>
        <w:t xml:space="preserve"> </w:t>
      </w:r>
      <w:r w:rsidR="007252F7">
        <w:rPr>
          <w:rFonts w:ascii="Cambria" w:eastAsia="Times New Roman" w:hAnsi="Cambria" w:cs="Times New Roman"/>
          <w:sz w:val="24"/>
          <w:szCs w:val="24"/>
        </w:rPr>
        <w:t>secara signifikan meningkatkan</w:t>
      </w:r>
      <w:r w:rsidRPr="008870AE">
        <w:rPr>
          <w:rFonts w:ascii="Cambria" w:eastAsia="Times New Roman" w:hAnsi="Cambria" w:cs="Times New Roman"/>
          <w:sz w:val="24"/>
          <w:szCs w:val="24"/>
        </w:rPr>
        <w:t xml:space="preserve"> profitabilitas perusahaan-perusahaan di Asia Tenggara. Penelitian ini juga menemukan bahwa periode resesi tidak memoderasi hubungan dari kedua variabel tersebut. Adanya pelemahan kondisi ekonomi menyebabkan signifikansi manajemen modal kerja tidak mengalami perubahan saat resesi terjadi. Oleh karena itu, penting bagi </w:t>
      </w:r>
      <w:r w:rsidR="007252F7">
        <w:rPr>
          <w:rFonts w:ascii="Cambria" w:eastAsia="Times New Roman" w:hAnsi="Cambria" w:cs="Times New Roman"/>
          <w:sz w:val="24"/>
          <w:szCs w:val="24"/>
        </w:rPr>
        <w:t xml:space="preserve">manajemen </w:t>
      </w:r>
      <w:r w:rsidRPr="008870AE">
        <w:rPr>
          <w:rFonts w:ascii="Cambria" w:eastAsia="Times New Roman" w:hAnsi="Cambria" w:cs="Times New Roman"/>
          <w:sz w:val="24"/>
          <w:szCs w:val="24"/>
        </w:rPr>
        <w:t xml:space="preserve">untuk </w:t>
      </w:r>
      <w:r w:rsidR="007252F7">
        <w:rPr>
          <w:rFonts w:ascii="Cambria" w:eastAsia="Times New Roman" w:hAnsi="Cambria" w:cs="Times New Roman"/>
          <w:sz w:val="24"/>
          <w:szCs w:val="24"/>
        </w:rPr>
        <w:t>memastikan</w:t>
      </w:r>
      <w:r w:rsidRPr="008870AE">
        <w:rPr>
          <w:rFonts w:ascii="Cambria" w:eastAsia="Times New Roman" w:hAnsi="Cambria" w:cs="Times New Roman"/>
          <w:sz w:val="24"/>
          <w:szCs w:val="24"/>
        </w:rPr>
        <w:t xml:space="preserve"> keseimbangan antara likuiditas dan profitabilitas.</w:t>
      </w:r>
    </w:p>
    <w:p w:rsidR="00D6229B" w:rsidRPr="008870AE" w:rsidRDefault="00D6229B" w:rsidP="00D6229B">
      <w:pPr>
        <w:spacing w:after="0" w:line="240" w:lineRule="auto"/>
        <w:jc w:val="both"/>
        <w:rPr>
          <w:rFonts w:ascii="Cambria" w:eastAsia="Times New Roman" w:hAnsi="Cambria" w:cs="Times New Roman"/>
          <w:sz w:val="24"/>
          <w:szCs w:val="24"/>
        </w:rPr>
      </w:pPr>
      <w:r w:rsidRPr="008870AE">
        <w:rPr>
          <w:rFonts w:ascii="Cambria" w:eastAsia="Times New Roman" w:hAnsi="Cambria" w:cs="Times New Roman"/>
          <w:sz w:val="24"/>
          <w:szCs w:val="24"/>
        </w:rPr>
        <w:t xml:space="preserve">Kata kunci: </w:t>
      </w:r>
      <w:r w:rsidR="00357B39" w:rsidRPr="008870AE">
        <w:rPr>
          <w:rFonts w:ascii="Cambria" w:eastAsia="Times New Roman" w:hAnsi="Cambria" w:cs="Times New Roman"/>
          <w:i/>
          <w:sz w:val="24"/>
          <w:szCs w:val="24"/>
        </w:rPr>
        <w:t xml:space="preserve">cash conversion cycle, </w:t>
      </w:r>
      <w:r w:rsidRPr="008870AE">
        <w:rPr>
          <w:rFonts w:ascii="Cambria" w:eastAsia="Times New Roman" w:hAnsi="Cambria" w:cs="Times New Roman"/>
          <w:sz w:val="24"/>
          <w:szCs w:val="24"/>
        </w:rPr>
        <w:t>modal kerja, profitabilitas, resesi, Asia Tenggara</w:t>
      </w:r>
    </w:p>
    <w:p w:rsidR="00D6229B" w:rsidRPr="009A3B13" w:rsidRDefault="00D6229B" w:rsidP="009A3B13">
      <w:pPr>
        <w:spacing w:line="240" w:lineRule="auto"/>
        <w:rPr>
          <w:rFonts w:ascii="Times New Roman" w:hAnsi="Times New Roman" w:cs="Times New Roman"/>
          <w:b/>
          <w:sz w:val="20"/>
        </w:rPr>
      </w:pPr>
    </w:p>
    <w:p w:rsidR="007A5A37" w:rsidRPr="008870AE" w:rsidRDefault="002C505F" w:rsidP="001939E3">
      <w:pPr>
        <w:pStyle w:val="ListParagraph"/>
        <w:numPr>
          <w:ilvl w:val="0"/>
          <w:numId w:val="1"/>
        </w:numPr>
        <w:spacing w:after="0" w:line="240" w:lineRule="auto"/>
        <w:ind w:left="284" w:hanging="284"/>
        <w:rPr>
          <w:rFonts w:ascii="Cambria" w:hAnsi="Cambria" w:cs="Times New Roman"/>
          <w:b/>
        </w:rPr>
      </w:pPr>
      <w:r w:rsidRPr="008870AE">
        <w:rPr>
          <w:rFonts w:ascii="Cambria" w:hAnsi="Cambria" w:cs="Times New Roman"/>
          <w:b/>
        </w:rPr>
        <w:t>PENDAHULUAN</w:t>
      </w:r>
    </w:p>
    <w:p w:rsidR="007A5A37" w:rsidRPr="008870AE" w:rsidRDefault="00C76CD6" w:rsidP="007A5A37">
      <w:pPr>
        <w:spacing w:line="240" w:lineRule="auto"/>
        <w:ind w:left="66" w:firstLine="360"/>
        <w:jc w:val="both"/>
        <w:rPr>
          <w:rFonts w:ascii="Cambria" w:hAnsi="Cambria" w:cs="Times New Roman"/>
          <w:b/>
        </w:rPr>
      </w:pPr>
      <w:r>
        <w:rPr>
          <w:rFonts w:ascii="Cambria" w:eastAsia="Times New Roman" w:hAnsi="Cambria" w:cs="Times New Roman"/>
          <w:color w:val="000000"/>
        </w:rPr>
        <w:t>Profit adalah tujuan utama suatu perusahaan.</w:t>
      </w:r>
      <w:r w:rsidR="00D536B8" w:rsidRPr="008870AE">
        <w:rPr>
          <w:rFonts w:ascii="Cambria" w:eastAsia="Times New Roman" w:hAnsi="Cambria" w:cs="Times New Roman"/>
          <w:color w:val="000000"/>
        </w:rPr>
        <w:t xml:space="preserve"> Dalam menjalankan kegiatan usaha tersebut, perusahaan membutuhkan pendanaan. </w:t>
      </w:r>
      <w:r>
        <w:rPr>
          <w:rFonts w:ascii="Cambria" w:eastAsia="Times New Roman" w:hAnsi="Cambria" w:cs="Times New Roman"/>
          <w:color w:val="000000"/>
        </w:rPr>
        <w:t xml:space="preserve">Karenanya menjadi suatu keharusan bagi </w:t>
      </w:r>
      <w:r w:rsidR="00D536B8" w:rsidRPr="008870AE">
        <w:rPr>
          <w:rFonts w:ascii="Cambria" w:eastAsia="Times New Roman" w:hAnsi="Cambria" w:cs="Times New Roman"/>
          <w:color w:val="000000"/>
        </w:rPr>
        <w:t>perusahaan untuk mengelola sumber pendanaan yang dimilikinya (</w:t>
      </w:r>
      <w:r w:rsidR="00D536B8" w:rsidRPr="008870AE">
        <w:rPr>
          <w:rFonts w:ascii="Cambria" w:eastAsia="Times New Roman" w:hAnsi="Cambria" w:cs="Times New Roman"/>
          <w:i/>
          <w:color w:val="000000"/>
        </w:rPr>
        <w:t>financial management</w:t>
      </w:r>
      <w:r w:rsidR="00D536B8" w:rsidRPr="008870AE">
        <w:rPr>
          <w:rFonts w:ascii="Cambria" w:eastAsia="Times New Roman" w:hAnsi="Cambria" w:cs="Times New Roman"/>
          <w:color w:val="000000"/>
        </w:rPr>
        <w:t>) sebagai upaya untuk memaks</w:t>
      </w:r>
      <w:r>
        <w:rPr>
          <w:rFonts w:ascii="Cambria" w:eastAsia="Times New Roman" w:hAnsi="Cambria" w:cs="Times New Roman"/>
          <w:color w:val="000000"/>
        </w:rPr>
        <w:t>imalkan keuntungan. B</w:t>
      </w:r>
      <w:r w:rsidR="00D536B8" w:rsidRPr="008870AE">
        <w:rPr>
          <w:rFonts w:ascii="Cambria" w:eastAsia="Times New Roman" w:hAnsi="Cambria" w:cs="Times New Roman"/>
          <w:color w:val="000000"/>
        </w:rPr>
        <w:t xml:space="preserve">entuk manajemen keuangan yang penting untuk dilakukan oleh suatu perusahaan </w:t>
      </w:r>
      <w:r>
        <w:rPr>
          <w:rFonts w:ascii="Cambria" w:eastAsia="Times New Roman" w:hAnsi="Cambria" w:cs="Times New Roman"/>
          <w:color w:val="000000"/>
        </w:rPr>
        <w:t xml:space="preserve">salah satunya </w:t>
      </w:r>
      <w:r w:rsidR="00D536B8" w:rsidRPr="008870AE">
        <w:rPr>
          <w:rFonts w:ascii="Cambria" w:eastAsia="Times New Roman" w:hAnsi="Cambria" w:cs="Times New Roman"/>
          <w:color w:val="000000"/>
        </w:rPr>
        <w:t xml:space="preserve">adalah pengelolaan modal kerja atau </w:t>
      </w:r>
      <w:r w:rsidR="00D536B8" w:rsidRPr="008870AE">
        <w:rPr>
          <w:rFonts w:ascii="Cambria" w:eastAsia="Times New Roman" w:hAnsi="Cambria" w:cs="Times New Roman"/>
          <w:i/>
          <w:color w:val="000000"/>
        </w:rPr>
        <w:t xml:space="preserve">working capital management </w:t>
      </w:r>
      <w:r w:rsidR="00D536B8" w:rsidRPr="008870AE">
        <w:rPr>
          <w:rFonts w:ascii="Cambria" w:eastAsia="Times New Roman" w:hAnsi="Cambria" w:cs="Times New Roman"/>
          <w:color w:val="000000"/>
        </w:rPr>
        <w:t>(Brigham &amp; Houston, 2012).</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Manajemen modal kerja adalah kegiatan pengelolaan atas aset dan liabilitas jangka pendek dari perusahaan (Ukaegbu, 2014). </w:t>
      </w:r>
      <w:r w:rsidR="00C76CD6">
        <w:rPr>
          <w:rFonts w:ascii="Cambria" w:eastAsia="Times New Roman" w:hAnsi="Cambria" w:cs="Times New Roman"/>
          <w:color w:val="000000"/>
        </w:rPr>
        <w:t>M</w:t>
      </w:r>
      <w:r w:rsidRPr="008870AE">
        <w:rPr>
          <w:rFonts w:ascii="Cambria" w:eastAsia="Times New Roman" w:hAnsi="Cambria" w:cs="Times New Roman"/>
          <w:color w:val="000000"/>
        </w:rPr>
        <w:t xml:space="preserve">anajemen modal kerja </w:t>
      </w:r>
      <w:r w:rsidR="00C76CD6">
        <w:rPr>
          <w:rFonts w:ascii="Cambria" w:eastAsia="Times New Roman" w:hAnsi="Cambria" w:cs="Times New Roman"/>
          <w:color w:val="000000"/>
        </w:rPr>
        <w:t xml:space="preserve">bertujuan </w:t>
      </w:r>
      <w:r w:rsidRPr="008870AE">
        <w:rPr>
          <w:rFonts w:ascii="Cambria" w:eastAsia="Times New Roman" w:hAnsi="Cambria" w:cs="Times New Roman"/>
          <w:color w:val="000000"/>
        </w:rPr>
        <w:t>untuk memastikan perusahaan mempunyai likuiditas yang cukup untuk melunasi liabilitas-liabilitas jangka pendeknya, serta membiayai kegiatan operasi sehari-hari. Oleh karena itu, manajemen modal kerja memiliki peranan yang penting dalam upaya untuk memaksimalkan profitabilitas perusahaan (Haq, Sohail, Zaman, dan Alam, 2012).</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Dari beberapa penelitian yang telah dilakukan, ditemukan bahwa manajemen modal kerja memiliki pengaruh terhadap profitabilitas perusahaan. Profitabilitas yang maksimal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dicapai </w:t>
      </w:r>
      <w:r w:rsidRPr="008870AE">
        <w:rPr>
          <w:rFonts w:ascii="Cambria" w:eastAsia="Times New Roman" w:hAnsi="Cambria" w:cs="Times New Roman"/>
          <w:color w:val="000000"/>
        </w:rPr>
        <w:lastRenderedPageBreak/>
        <w:t xml:space="preserve">ketika perusahaan mempercepat perputaran dari modal kerja yang dimiliki (Vahid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2012; Enqvist, Graham, &amp; Nikkinen, 2014; Ukaegbu, 2014; dan Pais &amp; Gama, 2015). Seluruh aset yang dimiliki oleh perusahaan digunakan secara produktif dan tidak dibiarkan menganggur dalam bentuk piutang ataupun menumpuk sebagai persediaan (Tran, Abbott, &amp; Jin Yap, 2017). Di samping itu, perputaran modal kerja yang semakin lambat juga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meningkatkan beban pemeliharan (</w:t>
      </w:r>
      <w:r w:rsidRPr="008870AE">
        <w:rPr>
          <w:rFonts w:ascii="Cambria" w:eastAsia="Times New Roman" w:hAnsi="Cambria" w:cs="Times New Roman"/>
          <w:i/>
          <w:color w:val="000000"/>
        </w:rPr>
        <w:t>maintenance expense</w:t>
      </w:r>
      <w:r w:rsidRPr="008870AE">
        <w:rPr>
          <w:rFonts w:ascii="Cambria" w:eastAsia="Times New Roman" w:hAnsi="Cambria" w:cs="Times New Roman"/>
          <w:color w:val="000000"/>
        </w:rPr>
        <w:t xml:space="preserve">), sehingga menurunkan profitabilitas (Yazdanfar &amp; Öhman, 2014). </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Modal kerja dari suatu perusahaan dapat dipengaruhi oleh dua faktor, yaitu faktor internal, seperti kegiatan operasi perusahaan dan faktor eksternal yang meliputi kondisi makroekonomi (Johnson &amp; Soenen, 2003). Dengan kata lain, kebijakan perusahaan dalam mengelola modal kerja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turut dipengaruhi oleh kondisi perekonomian suatu negara (Enqvist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2014). Kondisi resesi yang terjadi tahun 2007 lalu menyadarkan banyak pelaku bisnis mengenai pentingnya modal kerja sebagai sumber pendanaan perusahaan (Abuzayed, 2012). Pada saat resesi, batas pinjaman yang diizinkan oleh pemerintah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diturunkan dan tingkat suku bunga pinjaman akan semakin tinggi (de Almeida dan Eid, 2012). Di samping itu, tingkat permintaan pada saat kondisi resesi juga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menurun dan memperlambat proses konversi aset ke pendapatan. Kondisi resesi menyebabkan sumber pendanaan eksternal menjadi terbatas dan mahal. Oleh karena itu, penting bagi perusahaan untuk menjaga likuiditas pada saat resesi sebagai upaya dalam menjaga tingkat profitabilitas. Hal tersebut sejalan dengan penelitian yang dilakukan oleh Enqvist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(2014) di Irlandia dan Haron &amp; Nomran di Malaysia.</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Pada pertengahan tahun 2007, kasus </w:t>
      </w:r>
      <w:r w:rsidRPr="008870AE">
        <w:rPr>
          <w:rFonts w:ascii="Cambria" w:eastAsia="Times New Roman" w:hAnsi="Cambria" w:cs="Times New Roman"/>
          <w:i/>
          <w:color w:val="000000"/>
        </w:rPr>
        <w:t>subprime mortgage</w:t>
      </w:r>
      <w:r w:rsidRPr="008870AE">
        <w:rPr>
          <w:rFonts w:ascii="Cambria" w:eastAsia="Times New Roman" w:hAnsi="Cambria" w:cs="Times New Roman"/>
          <w:color w:val="000000"/>
        </w:rPr>
        <w:t xml:space="preserve"> yang terjadi di Amerika Serikat menjadi awal krisis ekonomi global atau resesi (Gray &amp; Jobst, 2010). Salman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(2010) memaparkan jika dampak krisis tersebut juga menyebar hingga kawasan Asia. Nilai transaksi ekspor Asia mengalami penurunan sebesar 30% dan harga saham dari negara-negara berkembang di Asia turun sebesar 60% di tahun 2007 (Keat, 2009). Periode resesi tersebut berlangsung selama 2 tahun untuk negara-negara di kawasan Asia Tenggara (Hong, Lee, &amp; Tang, 2010).</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Pertumbuhan GDP di kawasan Asia Tenggara telah tumbuh 70 kali lipat dalam kurun waktu 50 tahun. Asia Tenggara juga merupakan kawasan dengan jumlah ekspor terbesar keempat di dunia (Vinayak, Thompson, &amp; Tonby, 2014). Sebagai negara yang sedang mengalami pertumbuhan yang pesat, dampak kondisi resesi tidak dapat dihindari oleh negara-negara di kawasan tersebut. Krisis yang terjadi pada negara-negara di Asia Tenggara disebabkan oleh penurunan nilai perdagangan dari sektor ekspor (Rasiah, Cheong, &amp; Doner, 2014) dan peningkatan beban utang akibat kenaikan tingkat suku bunga. </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Menurut Baker, Bloom, dan Davis (2016), volatilitas harga saham yang signifikan dapat dijadikan indikator untuk mengidentifikasi perubahan ekonomi yang terjadi pada suatu negara. Berdasarkan pengamatan atas indeks saham masing-masing negara di Asia Tenggara pada </w:t>
      </w:r>
      <w:r w:rsidRPr="008870AE">
        <w:rPr>
          <w:rFonts w:ascii="Cambria" w:eastAsia="Times New Roman" w:hAnsi="Cambria" w:cs="Times New Roman"/>
          <w:i/>
          <w:color w:val="000000"/>
        </w:rPr>
        <w:t xml:space="preserve">Yahoo! Finance </w:t>
      </w:r>
      <w:r w:rsidRPr="008870AE">
        <w:rPr>
          <w:rFonts w:ascii="Cambria" w:eastAsia="Times New Roman" w:hAnsi="Cambria" w:cs="Times New Roman"/>
          <w:color w:val="000000"/>
        </w:rPr>
        <w:t xml:space="preserve">untuk periode tahun 2000-2016, indeks saham dari negara-negara di kawasan tersebut mengalami penurunan tajam pada tahun 2008 dan 2009. Pergerakan nilai indeks saham tersebut membuktikan adanya kondisi resesi yang dialami oleh negara-negara di Asia Tenggara. Penelitian yang dilakukan pada beberapa negara di Asia Tenggara, seperti yang dilakukan oleh Appuhami (2008) di Thailand, Haron dan Nomran (2016) di Malaysia, serta Tran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(2017) di Vietnam, menemukan bahwa masih banyak perusahaan di Asia Tenggara yang belum menerapkan pengelolaan modal kerja yang efisidren. Oleh karena itu, penelitian yang menguji hubungan modal kerja dan profitabilitas pada kondisi resesi di kawasan tersebut penting untuk dilakukan.</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Pada saat kondisi resesi, pengelolaan modal kerja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memiliki peran yang signifikan untuk membantu perusahaan dalam mengelola fluktuasi aset dan liabilitas jangka pendek. Hal tersebut </w:t>
      </w:r>
      <w:r w:rsidR="00C76CD6">
        <w:rPr>
          <w:rFonts w:ascii="Cambria" w:eastAsia="Times New Roman" w:hAnsi="Cambria" w:cs="Times New Roman"/>
          <w:color w:val="000000"/>
        </w:rPr>
        <w:t>mendukung</w:t>
      </w:r>
      <w:r w:rsidRPr="008870AE">
        <w:rPr>
          <w:rFonts w:ascii="Cambria" w:eastAsia="Times New Roman" w:hAnsi="Cambria" w:cs="Times New Roman"/>
          <w:color w:val="000000"/>
        </w:rPr>
        <w:t xml:space="preserve"> penelitian yang dilakukan oleh Haron dan Nomran (2016) di Malaysia pada periode resesi tahun 2008 dan 2009.  Dari </w:t>
      </w:r>
      <w:r w:rsidR="00C76CD6">
        <w:rPr>
          <w:rFonts w:ascii="Cambria" w:eastAsia="Times New Roman" w:hAnsi="Cambria" w:cs="Times New Roman"/>
          <w:color w:val="000000"/>
        </w:rPr>
        <w:t xml:space="preserve">temuan penelitian terdahulu tersebut, menunjukkan </w:t>
      </w:r>
      <w:r w:rsidRPr="008870AE">
        <w:rPr>
          <w:rFonts w:ascii="Cambria" w:eastAsia="Times New Roman" w:hAnsi="Cambria" w:cs="Times New Roman"/>
          <w:color w:val="000000"/>
        </w:rPr>
        <w:t xml:space="preserve">bahwa </w:t>
      </w:r>
      <w:r w:rsidRPr="008870AE">
        <w:rPr>
          <w:rFonts w:ascii="Cambria" w:eastAsia="Times New Roman" w:hAnsi="Cambria" w:cs="Times New Roman"/>
          <w:color w:val="000000"/>
        </w:rPr>
        <w:lastRenderedPageBreak/>
        <w:t xml:space="preserve">perusahaan yang melakukan efisiensi pada modal kerja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memperoleh profitabilitas yang lebih baik. Walaupun studi mengenai peran manajemen modal kerja pada kondisi resesi mampu memberikan kontribusi yang penting, namun belum banyak penelitian yang melakukan pengujian untuk topik tersebut, terutama untuk kawasan Asia Tenggara.</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rPr>
        <w:t xml:space="preserve">Berdasarkan penjelasan sebelumnya diketahui bahwa perusahaan di Asia Tenggara masih belum menerapkan manajemen modal kerja yang efisien. Padahal ketika terjadi perubahan kondisi ekonomi yang tiba-tiba seperti resesi, praktik manajemen yang tidak efisien ini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menekan performa yang diperoleh perusahaan. Selain itu walaupun telah banyak </w:t>
      </w:r>
      <w:r w:rsidR="0087250C">
        <w:rPr>
          <w:rFonts w:ascii="Cambria" w:eastAsia="Times New Roman" w:hAnsi="Cambria" w:cs="Times New Roman"/>
        </w:rPr>
        <w:t xml:space="preserve">riset </w:t>
      </w:r>
      <w:r w:rsidRPr="008870AE">
        <w:rPr>
          <w:rFonts w:ascii="Cambria" w:eastAsia="Times New Roman" w:hAnsi="Cambria" w:cs="Times New Roman"/>
        </w:rPr>
        <w:t xml:space="preserve">yang </w:t>
      </w:r>
      <w:r w:rsidR="0087250C">
        <w:rPr>
          <w:rFonts w:ascii="Cambria" w:eastAsia="Times New Roman" w:hAnsi="Cambria" w:cs="Times New Roman"/>
        </w:rPr>
        <w:t xml:space="preserve">menganalisis </w:t>
      </w:r>
      <w:r w:rsidRPr="008870AE">
        <w:rPr>
          <w:rFonts w:ascii="Cambria" w:eastAsia="Times New Roman" w:hAnsi="Cambria" w:cs="Times New Roman"/>
        </w:rPr>
        <w:t xml:space="preserve">hubungan antara manajemen modal kerja dan profitabilitas, masih sedikit yang membahas mengenai pengaruh kondisi ekonomi terhadap hubungan kedua variabel tersebut. </w:t>
      </w:r>
    </w:p>
    <w:p w:rsidR="007A5A37"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color w:val="000000"/>
        </w:rPr>
        <w:t xml:space="preserve">Hasil dari penelitian ini dapat menjadi landasan dalam mendorong para pelaku bisnis untuk menerapkan pengelolaan modal kerja yang efektif dan efisien. Selain itu, peranan penting dari manajemen modal kerja selama resesi menunjukkan perlunya pelaku bisnis untuk memiliki pengetahuan yang cukup mengenai kondisi makroekonomi. Pengetahuan tersebut dapat membantu perusahaan dalam mempersiapkan diri dan memaksimalkan pengelolaan modal kerja, serta profitabilitas ketika sedang memasuki kondisi resesi (Enqvist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2014). Maka, penelitian ini dapat memberikan kontribusi positif bagi berbagai pihak, terutama dalam memberikan referensi tambahan mengenai hubungan manajemen modal kerja dan profitabilitas pada saat kondisi resesi di kawasan Asia Tenggara. </w:t>
      </w:r>
    </w:p>
    <w:p w:rsidR="00D536B8" w:rsidRPr="008870AE" w:rsidRDefault="00D536B8" w:rsidP="007A5A37">
      <w:pPr>
        <w:spacing w:line="240" w:lineRule="auto"/>
        <w:ind w:left="66" w:firstLine="360"/>
        <w:jc w:val="both"/>
        <w:rPr>
          <w:rFonts w:ascii="Cambria" w:hAnsi="Cambria" w:cs="Times New Roman"/>
          <w:b/>
        </w:rPr>
      </w:pPr>
      <w:r w:rsidRPr="008870AE">
        <w:rPr>
          <w:rFonts w:ascii="Cambria" w:eastAsia="Times New Roman" w:hAnsi="Cambria" w:cs="Times New Roman"/>
        </w:rPr>
        <w:t xml:space="preserve">Adapun pembahasan lainnya dari penelitian ini, terdiri dari </w:t>
      </w:r>
      <w:r w:rsidRPr="008870AE">
        <w:rPr>
          <w:rFonts w:ascii="Cambria" w:eastAsia="Times New Roman" w:hAnsi="Cambria" w:cs="Times New Roman"/>
          <w:b/>
        </w:rPr>
        <w:t>Bagian 2</w:t>
      </w:r>
      <w:r w:rsidRPr="008870AE">
        <w:rPr>
          <w:rFonts w:ascii="Cambria" w:eastAsia="Times New Roman" w:hAnsi="Cambria" w:cs="Times New Roman"/>
        </w:rPr>
        <w:t xml:space="preserve">, membahas telaah literatur dan pengembangan hipotesis, </w:t>
      </w:r>
      <w:r w:rsidRPr="008870AE">
        <w:rPr>
          <w:rFonts w:ascii="Cambria" w:eastAsia="Times New Roman" w:hAnsi="Cambria" w:cs="Times New Roman"/>
          <w:b/>
        </w:rPr>
        <w:t xml:space="preserve">Bagian 3 </w:t>
      </w:r>
      <w:r w:rsidRPr="008870AE">
        <w:rPr>
          <w:rFonts w:ascii="Cambria" w:eastAsia="Times New Roman" w:hAnsi="Cambria" w:cs="Times New Roman"/>
        </w:rPr>
        <w:t xml:space="preserve">tentang metode penelitian dan data yang digunakan, </w:t>
      </w:r>
      <w:r w:rsidRPr="008870AE">
        <w:rPr>
          <w:rFonts w:ascii="Cambria" w:eastAsia="Times New Roman" w:hAnsi="Cambria" w:cs="Times New Roman"/>
          <w:b/>
        </w:rPr>
        <w:t>Bagian 4</w:t>
      </w:r>
      <w:r w:rsidRPr="008870AE">
        <w:rPr>
          <w:rFonts w:ascii="Cambria" w:eastAsia="Times New Roman" w:hAnsi="Cambria" w:cs="Times New Roman"/>
        </w:rPr>
        <w:t xml:space="preserve"> membahas tentang hasil diskusi, serta </w:t>
      </w:r>
      <w:r w:rsidRPr="008870AE">
        <w:rPr>
          <w:rFonts w:ascii="Cambria" w:eastAsia="Times New Roman" w:hAnsi="Cambria" w:cs="Times New Roman"/>
          <w:b/>
        </w:rPr>
        <w:t xml:space="preserve">Bagian 5 </w:t>
      </w:r>
      <w:r w:rsidRPr="008870AE">
        <w:rPr>
          <w:rFonts w:ascii="Cambria" w:eastAsia="Times New Roman" w:hAnsi="Cambria" w:cs="Times New Roman"/>
        </w:rPr>
        <w:t>mengenai kesimpulan, implikasi, serta keterbatasan dari penelitian yang digunakan.</w:t>
      </w:r>
    </w:p>
    <w:p w:rsidR="00D536B8" w:rsidRPr="008870AE" w:rsidRDefault="00D536B8" w:rsidP="00D536B8">
      <w:pPr>
        <w:pStyle w:val="ListParagraph"/>
        <w:spacing w:line="240" w:lineRule="auto"/>
        <w:ind w:left="426"/>
        <w:rPr>
          <w:rFonts w:ascii="Cambria" w:hAnsi="Cambria" w:cs="Times New Roman"/>
        </w:rPr>
      </w:pPr>
    </w:p>
    <w:p w:rsidR="007A5A37" w:rsidRPr="008870AE" w:rsidRDefault="002C505F" w:rsidP="001939E3">
      <w:pPr>
        <w:pStyle w:val="ListParagraph"/>
        <w:numPr>
          <w:ilvl w:val="0"/>
          <w:numId w:val="1"/>
        </w:numPr>
        <w:spacing w:after="0" w:line="240" w:lineRule="auto"/>
        <w:ind w:left="284" w:hanging="284"/>
        <w:rPr>
          <w:rFonts w:ascii="Cambria" w:hAnsi="Cambria" w:cs="Times New Roman"/>
          <w:b/>
        </w:rPr>
      </w:pPr>
      <w:r w:rsidRPr="008870AE">
        <w:rPr>
          <w:rFonts w:ascii="Cambria" w:hAnsi="Cambria" w:cs="Times New Roman"/>
          <w:b/>
        </w:rPr>
        <w:t>TELAAH LITERATUR</w:t>
      </w:r>
    </w:p>
    <w:p w:rsidR="007A5A37" w:rsidRPr="008870AE" w:rsidRDefault="007A5A37" w:rsidP="007A5A37">
      <w:pPr>
        <w:spacing w:line="240" w:lineRule="auto"/>
        <w:ind w:left="66" w:firstLine="360"/>
        <w:jc w:val="both"/>
        <w:rPr>
          <w:rFonts w:ascii="Cambria" w:eastAsia="Times New Roman" w:hAnsi="Cambria" w:cs="Times New Roman"/>
          <w:color w:val="000000"/>
        </w:rPr>
      </w:pPr>
      <w:r w:rsidRPr="008870AE">
        <w:rPr>
          <w:rFonts w:ascii="Cambria" w:eastAsia="Times New Roman" w:hAnsi="Cambria" w:cs="Times New Roman"/>
          <w:color w:val="000000"/>
        </w:rPr>
        <w:t>Berdasarkan penelitian-penelitian yang telah dilakukan, hasil pengujian atas hubungan antara manajemen modal kerja dan profitabilitas dapat dibedakan menjadi 3, yaitu hubungan positif, hubungan negatif, dan hubungan nonlinear (</w:t>
      </w:r>
      <w:r w:rsidRPr="008870AE">
        <w:rPr>
          <w:rFonts w:ascii="Cambria" w:eastAsia="Times New Roman" w:hAnsi="Cambria" w:cs="Times New Roman"/>
          <w:i/>
          <w:color w:val="000000"/>
        </w:rPr>
        <w:t>inverted U</w:t>
      </w:r>
      <w:r w:rsidRPr="008870AE">
        <w:rPr>
          <w:rFonts w:ascii="Cambria" w:eastAsia="Times New Roman" w:hAnsi="Cambria" w:cs="Times New Roman"/>
          <w:color w:val="000000"/>
        </w:rPr>
        <w:t xml:space="preserve">). Penelitian yang dilakukan oleh Charitou </w:t>
      </w:r>
      <w:r w:rsidRPr="008870AE">
        <w:rPr>
          <w:rFonts w:ascii="Cambria" w:eastAsia="Times New Roman" w:hAnsi="Cambria" w:cs="Times New Roman"/>
          <w:i/>
          <w:color w:val="000000"/>
        </w:rPr>
        <w:t xml:space="preserve">et al. </w:t>
      </w:r>
      <w:r w:rsidRPr="008870AE">
        <w:rPr>
          <w:rFonts w:ascii="Cambria" w:eastAsia="Times New Roman" w:hAnsi="Cambria" w:cs="Times New Roman"/>
          <w:color w:val="000000"/>
        </w:rPr>
        <w:t xml:space="preserve">(2012), Wibowo dan Wartini (2012), dan de Almeida dan Eid (2014)  menjelaskan adanya hubungan positif antara manajemen modal kerja dan profitabilitas. Modal kerja dibutuhkan oleh perusahaan untuk menghasilkan profit. Oleh karena itu, dengan memiliki semakin banyak modal kerja, profitabilitas perusahaan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semakin tinggi.</w:t>
      </w:r>
    </w:p>
    <w:p w:rsidR="007A5A37" w:rsidRPr="008870AE" w:rsidRDefault="007A5A37" w:rsidP="007A5A37">
      <w:pPr>
        <w:spacing w:line="240" w:lineRule="auto"/>
        <w:ind w:left="66" w:firstLine="360"/>
        <w:jc w:val="both"/>
        <w:rPr>
          <w:rFonts w:ascii="Cambria" w:eastAsia="Times New Roman" w:hAnsi="Cambria" w:cs="Times New Roman"/>
          <w:color w:val="000000"/>
        </w:rPr>
      </w:pPr>
      <w:r w:rsidRPr="008870AE">
        <w:rPr>
          <w:rFonts w:ascii="Cambria" w:eastAsia="Times New Roman" w:hAnsi="Cambria" w:cs="Times New Roman"/>
          <w:color w:val="000000"/>
        </w:rPr>
        <w:t xml:space="preserve">Penelitian yang dilakukan Magpayo (2010), Wibowo dan Wartini (2012), Vahid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(2012), Enqvist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(2014), Ukaegbu (2014), Yazdanfar dan </w:t>
      </w:r>
      <w:r w:rsidRPr="008870AE">
        <w:rPr>
          <w:rFonts w:ascii="Cambria" w:hAnsi="Cambria" w:cs="Times New Roman"/>
          <w:color w:val="000000"/>
        </w:rPr>
        <w:t>Öhman</w:t>
      </w:r>
      <w:r w:rsidRPr="008870AE">
        <w:rPr>
          <w:rFonts w:ascii="Cambria" w:eastAsia="Times New Roman" w:hAnsi="Cambria" w:cs="Times New Roman"/>
          <w:color w:val="000000"/>
        </w:rPr>
        <w:t xml:space="preserve"> (2014), Pais dan Gama (2015), Wasiuzzaman (2015), Haron dan Nomran (2016), dan Tran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(2017) menunjukkan adanya hubungan negatif antara manajemen modal kerja dan profitabilitas. Pengelolaan modal kerja melalui peningkatan efisiensi, seperti percepatan perputaran persediaan dan pembayaran utang menunjukkan bahwa perusahaan memaksimalkan penggunaan asetnya untuk menghasilkan profit.</w:t>
      </w:r>
    </w:p>
    <w:p w:rsidR="007A5A37" w:rsidRPr="008870AE" w:rsidRDefault="007A5A37" w:rsidP="007A5A37">
      <w:pPr>
        <w:spacing w:line="240" w:lineRule="auto"/>
        <w:ind w:left="66" w:firstLine="360"/>
        <w:jc w:val="both"/>
        <w:rPr>
          <w:rFonts w:ascii="Cambria" w:eastAsia="Times New Roman" w:hAnsi="Cambria" w:cs="Times New Roman"/>
          <w:color w:val="000000"/>
        </w:rPr>
      </w:pPr>
      <w:r w:rsidRPr="008870AE">
        <w:rPr>
          <w:rFonts w:ascii="Cambria" w:eastAsia="Times New Roman" w:hAnsi="Cambria" w:cs="Times New Roman"/>
          <w:color w:val="000000"/>
        </w:rPr>
        <w:t xml:space="preserve">Pandangan ketiga menyebutkan bahwa terdapat hubungan nonlinear berbentuk U terbalik antara manajemen modal kerja dan profitabilitas (Caballero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2014; Afrifa &amp; Padachi, 2016). Hasil penelitian tersebut menunjukkan bahwa terdapat titik optimal dari pengelolaan modal kera untuk memaksimalkan profitabilitas yang diperoleh. Jika modal kerja yang dimiliki perusahaan terlalu sedikit, maka </w:t>
      </w:r>
      <w:r w:rsidRPr="008870AE">
        <w:rPr>
          <w:rFonts w:ascii="Cambria" w:eastAsia="Times New Roman" w:hAnsi="Cambria" w:cs="Times New Roman"/>
          <w:i/>
          <w:color w:val="000000"/>
        </w:rPr>
        <w:t>opportunity loss</w:t>
      </w:r>
      <w:r w:rsidRPr="008870AE">
        <w:rPr>
          <w:rFonts w:ascii="Cambria" w:eastAsia="Times New Roman" w:hAnsi="Cambria" w:cs="Times New Roman"/>
          <w:color w:val="000000"/>
        </w:rPr>
        <w:t xml:space="preserve"> dari perusahaan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semakin besar. Sebaliknya, modal kerja yang berlebihan justru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mengurangi profit yang diperoleh perusahaan.</w:t>
      </w:r>
    </w:p>
    <w:p w:rsidR="007A5A37" w:rsidRPr="008870AE" w:rsidRDefault="007A5A37" w:rsidP="001939E3">
      <w:pPr>
        <w:pStyle w:val="ListParagraph"/>
        <w:numPr>
          <w:ilvl w:val="0"/>
          <w:numId w:val="2"/>
        </w:numPr>
        <w:spacing w:after="0" w:line="240" w:lineRule="auto"/>
        <w:ind w:left="426" w:hanging="426"/>
        <w:jc w:val="both"/>
        <w:rPr>
          <w:rFonts w:ascii="Cambria" w:hAnsi="Cambria" w:cs="Times New Roman"/>
        </w:rPr>
      </w:pPr>
      <w:r w:rsidRPr="008870AE">
        <w:rPr>
          <w:rFonts w:ascii="Cambria" w:eastAsia="Times New Roman" w:hAnsi="Cambria" w:cs="Times New Roman"/>
          <w:i/>
        </w:rPr>
        <w:t>Pecking Order Theory</w:t>
      </w:r>
    </w:p>
    <w:p w:rsidR="007A5A37" w:rsidRPr="008870AE" w:rsidRDefault="007A5A37" w:rsidP="007A5A37">
      <w:pPr>
        <w:spacing w:line="240" w:lineRule="auto"/>
        <w:ind w:left="66" w:firstLine="360"/>
        <w:jc w:val="both"/>
        <w:rPr>
          <w:rFonts w:ascii="Cambria" w:hAnsi="Cambria" w:cs="Times New Roman"/>
        </w:rPr>
      </w:pPr>
      <w:r w:rsidRPr="008870AE">
        <w:rPr>
          <w:rFonts w:ascii="Cambria" w:eastAsia="Times New Roman" w:hAnsi="Cambria" w:cs="Times New Roman"/>
          <w:i/>
        </w:rPr>
        <w:lastRenderedPageBreak/>
        <w:t>Pecking order theory</w:t>
      </w:r>
      <w:r w:rsidRPr="008870AE">
        <w:rPr>
          <w:rFonts w:ascii="Cambria" w:eastAsia="Times New Roman" w:hAnsi="Cambria" w:cs="Times New Roman"/>
        </w:rPr>
        <w:t xml:space="preserve"> menyebutkan bahwa perusahaan cenderung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mengikuti suatu hierarki ketika memilih sumber pendanaannya. Perusahaan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mengutamakan sumber pendanaan internal terlebih dahulu, sebelum menggunakan pinjaman dari pihak eksternal, dan akhirnya melakukan penerbitan saham (Myers &amp; Majluf, 1983). Menurut Myers dan Majluf (1983), pendanaan internal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lebih menguntungkan perusahaan. Dengan menggunakan pendanaan internal, perusahaan tidak perlu mengeluarkan informasi yang dimilikinya ke pihak eksternal. Perusahaan cenderung memilih untuk tidak memberikan informasi ke pihak eksternal karena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mengurangi daya saing perusahaan. Selain itu, ketimpangan informasi (</w:t>
      </w:r>
      <w:r w:rsidRPr="008870AE">
        <w:rPr>
          <w:rFonts w:ascii="Cambria" w:eastAsia="Times New Roman" w:hAnsi="Cambria" w:cs="Times New Roman"/>
          <w:i/>
        </w:rPr>
        <w:t>asymmetric information</w:t>
      </w:r>
      <w:r w:rsidRPr="008870AE">
        <w:rPr>
          <w:rFonts w:ascii="Cambria" w:eastAsia="Times New Roman" w:hAnsi="Cambria" w:cs="Times New Roman"/>
        </w:rPr>
        <w:t xml:space="preserve">) yang dimiliki oleh manajer menyebabkan pihak eksternal, seperti debitur ataupun investor,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menuntut tingkat pengembalian (</w:t>
      </w:r>
      <w:r w:rsidRPr="008870AE">
        <w:rPr>
          <w:rFonts w:ascii="Cambria" w:eastAsia="Times New Roman" w:hAnsi="Cambria" w:cs="Times New Roman"/>
          <w:i/>
        </w:rPr>
        <w:t>return</w:t>
      </w:r>
      <w:r w:rsidRPr="008870AE">
        <w:rPr>
          <w:rFonts w:ascii="Cambria" w:eastAsia="Times New Roman" w:hAnsi="Cambria" w:cs="Times New Roman"/>
        </w:rPr>
        <w:t>) yang lebih tinggi dalam bentuk bunga pinjaman dan deviden.</w:t>
      </w:r>
    </w:p>
    <w:p w:rsidR="007A5A37" w:rsidRPr="008870AE" w:rsidRDefault="007A5A37" w:rsidP="007A5A37">
      <w:pPr>
        <w:spacing w:line="240" w:lineRule="auto"/>
        <w:ind w:left="66" w:firstLine="360"/>
        <w:jc w:val="both"/>
        <w:rPr>
          <w:rFonts w:ascii="Cambria" w:hAnsi="Cambria" w:cs="Times New Roman"/>
        </w:rPr>
      </w:pPr>
      <w:r w:rsidRPr="008870AE">
        <w:rPr>
          <w:rFonts w:ascii="Cambria" w:eastAsia="Times New Roman" w:hAnsi="Cambria" w:cs="Times New Roman"/>
        </w:rPr>
        <w:t xml:space="preserve">Tidak hanya tuntutan atas </w:t>
      </w:r>
      <w:r w:rsidRPr="008870AE">
        <w:rPr>
          <w:rFonts w:ascii="Cambria" w:eastAsia="Times New Roman" w:hAnsi="Cambria" w:cs="Times New Roman"/>
          <w:i/>
        </w:rPr>
        <w:t xml:space="preserve">return </w:t>
      </w:r>
      <w:r w:rsidRPr="008870AE">
        <w:rPr>
          <w:rFonts w:ascii="Cambria" w:eastAsia="Times New Roman" w:hAnsi="Cambria" w:cs="Times New Roman"/>
        </w:rPr>
        <w:t xml:space="preserve">yang lebih tinggi, pendanaan eksternal juga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menimbulkan tambahan beban lain, seperti beban bunga ataupun beban birokrasi untuk menerbitkan saham (Myers &amp; Majluf, 1983). Beban-beban dan tingkat pengembalian (</w:t>
      </w:r>
      <w:r w:rsidRPr="008870AE">
        <w:rPr>
          <w:rFonts w:ascii="Cambria" w:eastAsia="Times New Roman" w:hAnsi="Cambria" w:cs="Times New Roman"/>
          <w:i/>
        </w:rPr>
        <w:t>return</w:t>
      </w:r>
      <w:r w:rsidRPr="008870AE">
        <w:rPr>
          <w:rFonts w:ascii="Cambria" w:eastAsia="Times New Roman" w:hAnsi="Cambria" w:cs="Times New Roman"/>
        </w:rPr>
        <w:t xml:space="preserve">) yang lebih tinggi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mengurangi keuntungan yang dihasilkan oleh perusahaan. Oleh karena itu, pendanaan eksternal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cenderung mengurangi tingkat profitabilitas perusahaan dibandingkan pendanaan internal.</w:t>
      </w:r>
    </w:p>
    <w:p w:rsidR="007A5A37" w:rsidRPr="008870AE" w:rsidRDefault="007A5A37" w:rsidP="007A5A37">
      <w:pPr>
        <w:spacing w:line="240" w:lineRule="auto"/>
        <w:ind w:left="66" w:firstLine="360"/>
        <w:jc w:val="both"/>
        <w:rPr>
          <w:rFonts w:ascii="Cambria" w:hAnsi="Cambria" w:cs="Times New Roman"/>
        </w:rPr>
      </w:pPr>
      <w:r w:rsidRPr="008870AE">
        <w:rPr>
          <w:rFonts w:ascii="Cambria" w:eastAsia="Times New Roman" w:hAnsi="Cambria" w:cs="Times New Roman"/>
        </w:rPr>
        <w:t>Dengan diketahuinya hubungan antara manajemen modal kerja dengan profitabilitas, dapat dijadikan landasan untuk mendorong pelaku bisnis mengelola modal kerja yang dimiliki. Telah banyak penelitian yang dilakukan untuk menganalisis hubungan antara manajemen modal kerja dengan profitabilitas, namun masih sedikit yang membahas tentang pengaruh kondisi ekonomi terhadap hubungan kedua variabel tersebut. Selain itu, dengan mengetahui pengaruh tersebut perusahaan mampu untuk mempersiapkan diri dalam menghadapi perubahan ekonomi yang terjadi secara tiba-tiba dan dapat mempertahankan profitabilitasnya. Sehingga penelitian ini m</w:t>
      </w:r>
    </w:p>
    <w:p w:rsidR="007A5A37" w:rsidRPr="008870AE" w:rsidRDefault="007A5A37" w:rsidP="007A5A37">
      <w:pPr>
        <w:pStyle w:val="ListParagraph"/>
        <w:numPr>
          <w:ilvl w:val="1"/>
          <w:numId w:val="1"/>
        </w:numPr>
        <w:spacing w:after="0" w:line="240" w:lineRule="auto"/>
        <w:ind w:left="426" w:hanging="426"/>
        <w:jc w:val="both"/>
        <w:rPr>
          <w:rFonts w:ascii="Cambria" w:eastAsia="Times New Roman" w:hAnsi="Cambria" w:cs="Times New Roman"/>
          <w:i/>
        </w:rPr>
      </w:pPr>
      <w:r w:rsidRPr="008870AE">
        <w:rPr>
          <w:rFonts w:ascii="Cambria" w:eastAsia="Times New Roman" w:hAnsi="Cambria" w:cs="Times New Roman"/>
          <w:i/>
        </w:rPr>
        <w:t xml:space="preserve">Pengembangan Hipotesis </w:t>
      </w:r>
    </w:p>
    <w:p w:rsidR="007A5A37" w:rsidRPr="008870AE" w:rsidRDefault="007A5A37" w:rsidP="007A5A37">
      <w:pPr>
        <w:pStyle w:val="ListParagraph"/>
        <w:numPr>
          <w:ilvl w:val="2"/>
          <w:numId w:val="1"/>
        </w:numPr>
        <w:spacing w:after="0" w:line="240" w:lineRule="auto"/>
        <w:ind w:left="567" w:hanging="566"/>
        <w:jc w:val="both"/>
        <w:rPr>
          <w:rFonts w:ascii="Cambria" w:eastAsia="Times New Roman" w:hAnsi="Cambria" w:cs="Times New Roman"/>
        </w:rPr>
      </w:pPr>
      <w:r w:rsidRPr="008870AE">
        <w:rPr>
          <w:rFonts w:ascii="Cambria" w:eastAsia="Times New Roman" w:hAnsi="Cambria" w:cs="Times New Roman"/>
        </w:rPr>
        <w:t>Manajemen Modal Kerja dan Profitabilitas</w:t>
      </w:r>
    </w:p>
    <w:p w:rsidR="007A5A37" w:rsidRPr="008870AE" w:rsidRDefault="007A5A37" w:rsidP="007A5A37">
      <w:pPr>
        <w:tabs>
          <w:tab w:val="left" w:pos="630"/>
        </w:tabs>
        <w:spacing w:after="0" w:line="240" w:lineRule="auto"/>
        <w:jc w:val="both"/>
        <w:rPr>
          <w:rFonts w:ascii="Cambria" w:eastAsia="Times New Roman" w:hAnsi="Cambria" w:cs="Times New Roman"/>
          <w:i/>
        </w:rPr>
      </w:pPr>
      <w:r w:rsidRPr="008870AE">
        <w:rPr>
          <w:rFonts w:ascii="Cambria" w:eastAsia="Times New Roman" w:hAnsi="Cambria" w:cs="Times New Roman"/>
          <w:i/>
        </w:rPr>
        <w:t xml:space="preserve">Cash Conversion Cycle dan Profitabilitas </w:t>
      </w:r>
    </w:p>
    <w:p w:rsidR="007A5A37" w:rsidRPr="008870AE" w:rsidRDefault="007A5A37" w:rsidP="007A5A37">
      <w:pPr>
        <w:tabs>
          <w:tab w:val="left" w:pos="630"/>
        </w:tabs>
        <w:spacing w:after="0" w:line="240" w:lineRule="auto"/>
        <w:jc w:val="both"/>
        <w:rPr>
          <w:rFonts w:ascii="Cambria" w:eastAsia="Times New Roman" w:hAnsi="Cambria" w:cs="Times New Roman"/>
          <w:i/>
        </w:rPr>
      </w:pPr>
      <w:r w:rsidRPr="008870AE">
        <w:rPr>
          <w:rFonts w:ascii="Cambria" w:eastAsia="Times New Roman" w:hAnsi="Cambria" w:cs="Times New Roman"/>
          <w:i/>
        </w:rPr>
        <w:tab/>
      </w:r>
      <w:r w:rsidRPr="008870AE">
        <w:rPr>
          <w:rFonts w:ascii="Cambria" w:eastAsia="Times New Roman" w:hAnsi="Cambria" w:cs="Times New Roman"/>
        </w:rPr>
        <w:t xml:space="preserve">Manajemen modal kerja dilakukan melalui pengelolaan atas aset-aset dan liabilitas jangka pendek (Mun &amp; Jang, 2015). Salah satu </w:t>
      </w:r>
      <w:proofErr w:type="gramStart"/>
      <w:r w:rsidRPr="008870AE">
        <w:rPr>
          <w:rFonts w:ascii="Cambria" w:eastAsia="Times New Roman" w:hAnsi="Cambria" w:cs="Times New Roman"/>
        </w:rPr>
        <w:t>cara</w:t>
      </w:r>
      <w:proofErr w:type="gramEnd"/>
      <w:r w:rsidRPr="008870AE">
        <w:rPr>
          <w:rFonts w:ascii="Cambria" w:eastAsia="Times New Roman" w:hAnsi="Cambria" w:cs="Times New Roman"/>
        </w:rPr>
        <w:t xml:space="preserve"> untuk mengukur efisiensi manajemen modal kerja adalah dengan menggunakan CCC atau </w:t>
      </w:r>
      <w:r w:rsidRPr="008870AE">
        <w:rPr>
          <w:rFonts w:ascii="Cambria" w:eastAsia="Times New Roman" w:hAnsi="Cambria" w:cs="Times New Roman"/>
          <w:i/>
        </w:rPr>
        <w:t>cash conversion cycle</w:t>
      </w:r>
      <w:r w:rsidRPr="008870AE">
        <w:rPr>
          <w:rFonts w:ascii="Cambria" w:eastAsia="Times New Roman" w:hAnsi="Cambria" w:cs="Times New Roman"/>
        </w:rPr>
        <w:t xml:space="preserve">. CCC mengukur selisih waktu pembayaran utang usaha dan waktu masuknya kas sebagai hasil penjualan persediaan. Perusahaan melakukan efisiensi pada manajemen modal kerja dengan memperpendek CCC (Hager, 1976). Periode CCC dapat diperpendek melalui tiga </w:t>
      </w:r>
      <w:proofErr w:type="gramStart"/>
      <w:r w:rsidRPr="008870AE">
        <w:rPr>
          <w:rFonts w:ascii="Cambria" w:eastAsia="Times New Roman" w:hAnsi="Cambria" w:cs="Times New Roman"/>
        </w:rPr>
        <w:t>cara</w:t>
      </w:r>
      <w:proofErr w:type="gramEnd"/>
      <w:r w:rsidRPr="008870AE">
        <w:rPr>
          <w:rFonts w:ascii="Cambria" w:eastAsia="Times New Roman" w:hAnsi="Cambria" w:cs="Times New Roman"/>
        </w:rPr>
        <w:t xml:space="preserve">, yaitu: mempercepat penjualan persediaan, mempercepat pelunasan piutang, dan memperlambat pembayaran utang (Enqvist </w:t>
      </w:r>
      <w:r w:rsidRPr="008870AE">
        <w:rPr>
          <w:rFonts w:ascii="Cambria" w:eastAsia="Times New Roman" w:hAnsi="Cambria" w:cs="Times New Roman"/>
          <w:i/>
        </w:rPr>
        <w:t>et al</w:t>
      </w:r>
      <w:r w:rsidRPr="008870AE">
        <w:rPr>
          <w:rFonts w:ascii="Cambria" w:eastAsia="Times New Roman" w:hAnsi="Cambria" w:cs="Times New Roman"/>
        </w:rPr>
        <w:t xml:space="preserve">, 2014). Periode CCC yang lebih pendek tersebut mengindikasikan bahwa perusahaan mampu untuk mengkonversi aset-aset jangka pendeknya menjadi kas dengan lebih cepat. Dengan kata lain, aset-aset tersebut digunakan secara maksimal dan tidak dibiarkan menganggur dalam rangka menghasilkan keuntungan yang sebesar-besarnya bagi perusahaan (Yazdanfar &amp; </w:t>
      </w:r>
      <w:r w:rsidRPr="008870AE">
        <w:rPr>
          <w:rFonts w:ascii="Cambria" w:hAnsi="Cambria" w:cs="Times New Roman"/>
          <w:color w:val="000000"/>
        </w:rPr>
        <w:t>Öhman, 2014).</w:t>
      </w:r>
    </w:p>
    <w:p w:rsidR="007A5A37" w:rsidRPr="008870AE" w:rsidRDefault="007A5A37" w:rsidP="007A5A37">
      <w:pPr>
        <w:spacing w:before="240" w:after="0" w:line="240" w:lineRule="auto"/>
        <w:ind w:firstLine="360"/>
        <w:jc w:val="both"/>
        <w:rPr>
          <w:rFonts w:ascii="Cambria" w:eastAsia="Times New Roman" w:hAnsi="Cambria" w:cs="Times New Roman"/>
          <w:i/>
        </w:rPr>
      </w:pPr>
      <w:r w:rsidRPr="008870AE">
        <w:rPr>
          <w:rFonts w:ascii="Cambria" w:eastAsia="Times New Roman" w:hAnsi="Cambria" w:cs="Times New Roman"/>
        </w:rPr>
        <w:t xml:space="preserve">Penelitian yang dilakukan oleh Vahid </w:t>
      </w:r>
      <w:r w:rsidRPr="008870AE">
        <w:rPr>
          <w:rFonts w:ascii="Cambria" w:eastAsia="Times New Roman" w:hAnsi="Cambria" w:cs="Times New Roman"/>
          <w:i/>
        </w:rPr>
        <w:t>et al</w:t>
      </w:r>
      <w:r w:rsidRPr="008870AE">
        <w:rPr>
          <w:rFonts w:ascii="Cambria" w:eastAsia="Times New Roman" w:hAnsi="Cambria" w:cs="Times New Roman"/>
        </w:rPr>
        <w:t xml:space="preserve">. (2012), Ukaegbu (2014), Yazdanfar dan </w:t>
      </w:r>
      <w:r w:rsidRPr="008870AE">
        <w:rPr>
          <w:rFonts w:ascii="Cambria" w:eastAsia="Times New Roman" w:hAnsi="Cambria" w:cs="Times New Roman"/>
          <w:color w:val="000000"/>
        </w:rPr>
        <w:t xml:space="preserve">Öhman (2014), Pais dan Gama (2015), dan Tran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(2017) menemukan adanya hubungan negatif antara manajemen modal kerja dan profitabilitas. Periode kas yang lebih panjang menunjukkan bahwa perusahaan membiarkan aset-asetnya tertahan dalam bentuk piutang yang tidak produktif, sehingga mengurangi kemampuan perusahaan dalam menghasilkan profit </w:t>
      </w:r>
      <w:r w:rsidRPr="008870AE">
        <w:rPr>
          <w:rFonts w:ascii="Cambria" w:eastAsia="Times New Roman" w:hAnsi="Cambria" w:cs="Times New Roman"/>
        </w:rPr>
        <w:t xml:space="preserve">(Yazdanfar &amp; </w:t>
      </w:r>
      <w:r w:rsidRPr="008870AE">
        <w:rPr>
          <w:rFonts w:ascii="Cambria" w:eastAsia="Times New Roman" w:hAnsi="Cambria" w:cs="Times New Roman"/>
          <w:color w:val="000000"/>
        </w:rPr>
        <w:t xml:space="preserve">Öhman, 2014). Dengan demikian, profitabilitas yang maksimal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dicapai ketika perusahaan mempercepat per</w:t>
      </w:r>
      <w:r w:rsidR="001939E3" w:rsidRPr="008870AE">
        <w:rPr>
          <w:rFonts w:ascii="Cambria" w:eastAsia="Times New Roman" w:hAnsi="Cambria" w:cs="Times New Roman"/>
          <w:color w:val="000000"/>
        </w:rPr>
        <w:t>iode perputaran modal kerjanya.</w:t>
      </w:r>
    </w:p>
    <w:p w:rsidR="007A5A37" w:rsidRPr="008870AE" w:rsidRDefault="007A5A37" w:rsidP="001939E3">
      <w:pPr>
        <w:spacing w:after="0" w:line="240" w:lineRule="auto"/>
        <w:ind w:firstLine="360"/>
        <w:jc w:val="both"/>
        <w:rPr>
          <w:rFonts w:ascii="Cambria" w:eastAsia="Times New Roman" w:hAnsi="Cambria" w:cs="Times New Roman"/>
          <w:i/>
        </w:rPr>
      </w:pPr>
      <w:r w:rsidRPr="008870AE">
        <w:rPr>
          <w:rFonts w:ascii="Cambria" w:eastAsia="Times New Roman" w:hAnsi="Cambria" w:cs="Times New Roman"/>
          <w:b/>
        </w:rPr>
        <w:t xml:space="preserve">H1. </w:t>
      </w:r>
      <w:r w:rsidRPr="008870AE">
        <w:rPr>
          <w:rFonts w:ascii="Cambria" w:eastAsia="Times New Roman" w:hAnsi="Cambria" w:cs="Times New Roman"/>
          <w:i/>
        </w:rPr>
        <w:t>Terdapat hubungan negatif antara cash conversion cycle dengan profitabilitas</w:t>
      </w:r>
    </w:p>
    <w:p w:rsidR="007A5A37" w:rsidRPr="008870AE" w:rsidRDefault="007A5A37" w:rsidP="007A5A37">
      <w:pPr>
        <w:spacing w:after="0" w:line="240" w:lineRule="auto"/>
        <w:jc w:val="both"/>
        <w:rPr>
          <w:rFonts w:ascii="Cambria" w:eastAsia="Times New Roman" w:hAnsi="Cambria" w:cs="Times New Roman"/>
        </w:rPr>
      </w:pPr>
    </w:p>
    <w:p w:rsidR="007A5A37" w:rsidRPr="008870AE" w:rsidRDefault="007A5A37" w:rsidP="007A5A37">
      <w:pPr>
        <w:spacing w:after="0" w:line="240" w:lineRule="auto"/>
        <w:jc w:val="both"/>
        <w:rPr>
          <w:rFonts w:ascii="Cambria" w:eastAsia="Times New Roman" w:hAnsi="Cambria" w:cs="Times New Roman"/>
          <w:i/>
        </w:rPr>
      </w:pPr>
      <w:r w:rsidRPr="008870AE">
        <w:rPr>
          <w:rFonts w:ascii="Cambria" w:eastAsia="Times New Roman" w:hAnsi="Cambria" w:cs="Times New Roman"/>
          <w:i/>
        </w:rPr>
        <w:t>Days of Inventory dan Profitabilitas</w:t>
      </w:r>
    </w:p>
    <w:p w:rsidR="007A5A37" w:rsidRPr="008870AE" w:rsidRDefault="007A5A37" w:rsidP="001939E3">
      <w:pPr>
        <w:spacing w:after="0" w:line="240" w:lineRule="auto"/>
        <w:ind w:firstLine="360"/>
        <w:jc w:val="both"/>
        <w:rPr>
          <w:rFonts w:ascii="Cambria" w:eastAsia="Times New Roman" w:hAnsi="Cambria" w:cs="Times New Roman"/>
        </w:rPr>
      </w:pPr>
      <w:r w:rsidRPr="008870AE">
        <w:rPr>
          <w:rFonts w:ascii="Cambria" w:eastAsia="Times New Roman" w:hAnsi="Cambria" w:cs="Times New Roman"/>
        </w:rPr>
        <w:lastRenderedPageBreak/>
        <w:t xml:space="preserve">Komponen pertama dari CCC adalah persediaan. Perusahaan membutuhkan persediaan untuk melakukan penjualan, serta menghindarkan perusahaan dari risiko terjadinya </w:t>
      </w:r>
      <w:r w:rsidRPr="008870AE">
        <w:rPr>
          <w:rFonts w:ascii="Cambria" w:eastAsia="Times New Roman" w:hAnsi="Cambria" w:cs="Times New Roman"/>
          <w:i/>
        </w:rPr>
        <w:t>stock out</w:t>
      </w:r>
      <w:r w:rsidRPr="008870AE">
        <w:rPr>
          <w:rFonts w:ascii="Cambria" w:eastAsia="Times New Roman" w:hAnsi="Cambria" w:cs="Times New Roman"/>
        </w:rPr>
        <w:t xml:space="preserve">. Oleh karena itu, memiliki jumlah persediaan yang besar dapat mendorong pertumbuhan penjualan dan meningkatkan keuntungan (Tran </w:t>
      </w:r>
      <w:r w:rsidRPr="008870AE">
        <w:rPr>
          <w:rFonts w:ascii="Cambria" w:eastAsia="Times New Roman" w:hAnsi="Cambria" w:cs="Times New Roman"/>
          <w:i/>
        </w:rPr>
        <w:t>et al.</w:t>
      </w:r>
      <w:r w:rsidRPr="008870AE">
        <w:rPr>
          <w:rFonts w:ascii="Cambria" w:eastAsia="Times New Roman" w:hAnsi="Cambria" w:cs="Times New Roman"/>
        </w:rPr>
        <w:t xml:space="preserve">, 2017). Namun, memiliki persediaan dalam jumlah yang besar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menimbulkan beban-beban tambahan, seperti beban persediaan menjadi rusak atau usang, ataupun meningkatkan operasional dari sewa gudang (Tran </w:t>
      </w:r>
      <w:r w:rsidRPr="008870AE">
        <w:rPr>
          <w:rFonts w:ascii="Cambria" w:eastAsia="Times New Roman" w:hAnsi="Cambria" w:cs="Times New Roman"/>
          <w:i/>
        </w:rPr>
        <w:t>et al.</w:t>
      </w:r>
      <w:r w:rsidRPr="008870AE">
        <w:rPr>
          <w:rFonts w:ascii="Cambria" w:eastAsia="Times New Roman" w:hAnsi="Cambria" w:cs="Times New Roman"/>
        </w:rPr>
        <w:t xml:space="preserve">, 2017). Perputaran persediaan yang lebih cepat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menghindarkan perusahaan dari beban-beban yang dapat mengurangi profitabilitas perusahaan. </w:t>
      </w:r>
    </w:p>
    <w:p w:rsidR="007A5A37" w:rsidRPr="008870AE" w:rsidRDefault="007A5A37" w:rsidP="001939E3">
      <w:pPr>
        <w:spacing w:after="0" w:line="240" w:lineRule="auto"/>
        <w:ind w:firstLine="360"/>
        <w:jc w:val="both"/>
        <w:rPr>
          <w:rFonts w:ascii="Cambria" w:eastAsia="Times New Roman" w:hAnsi="Cambria" w:cs="Times New Roman"/>
        </w:rPr>
      </w:pPr>
      <w:r w:rsidRPr="008870AE">
        <w:rPr>
          <w:rFonts w:ascii="Cambria" w:eastAsia="Times New Roman" w:hAnsi="Cambria" w:cs="Times New Roman"/>
          <w:b/>
        </w:rPr>
        <w:t xml:space="preserve">H1a. </w:t>
      </w:r>
      <w:r w:rsidRPr="008870AE">
        <w:rPr>
          <w:rFonts w:ascii="Cambria" w:eastAsia="Times New Roman" w:hAnsi="Cambria" w:cs="Times New Roman"/>
          <w:i/>
        </w:rPr>
        <w:t>Terdapat hubungan negatif antara days of inventory dengan profitabilitas.</w:t>
      </w:r>
    </w:p>
    <w:p w:rsidR="007A5A37" w:rsidRPr="008870AE" w:rsidRDefault="007A5A37" w:rsidP="007A5A37">
      <w:pPr>
        <w:spacing w:after="0" w:line="240" w:lineRule="auto"/>
        <w:jc w:val="both"/>
        <w:rPr>
          <w:rFonts w:ascii="Cambria" w:eastAsia="Times New Roman" w:hAnsi="Cambria" w:cs="Times New Roman"/>
          <w:i/>
        </w:rPr>
      </w:pPr>
    </w:p>
    <w:p w:rsidR="007A5A37" w:rsidRPr="008870AE" w:rsidRDefault="007A5A37" w:rsidP="007A5A37">
      <w:pPr>
        <w:spacing w:after="0" w:line="240" w:lineRule="auto"/>
        <w:jc w:val="both"/>
        <w:rPr>
          <w:rFonts w:ascii="Cambria" w:eastAsia="Times New Roman" w:hAnsi="Cambria" w:cs="Times New Roman"/>
          <w:i/>
        </w:rPr>
      </w:pPr>
      <w:r w:rsidRPr="008870AE">
        <w:rPr>
          <w:rFonts w:ascii="Cambria" w:eastAsia="Times New Roman" w:hAnsi="Cambria" w:cs="Times New Roman"/>
          <w:i/>
        </w:rPr>
        <w:t>Days of Receivable dan Profitabilitas</w:t>
      </w:r>
    </w:p>
    <w:p w:rsidR="007A5A37" w:rsidRPr="008870AE" w:rsidRDefault="007A5A37" w:rsidP="007A5A37">
      <w:pPr>
        <w:spacing w:after="0" w:line="240" w:lineRule="auto"/>
        <w:ind w:firstLine="360"/>
        <w:jc w:val="both"/>
        <w:rPr>
          <w:rFonts w:ascii="Cambria" w:eastAsia="Times New Roman" w:hAnsi="Cambria" w:cs="Times New Roman"/>
          <w:i/>
        </w:rPr>
      </w:pPr>
      <w:r w:rsidRPr="008870AE">
        <w:rPr>
          <w:rFonts w:ascii="Cambria" w:eastAsia="Times New Roman" w:hAnsi="Cambria" w:cs="Times New Roman"/>
        </w:rPr>
        <w:t xml:space="preserve">Komponen kedua dari CCC adalah </w:t>
      </w:r>
      <w:r w:rsidRPr="008870AE">
        <w:rPr>
          <w:rFonts w:ascii="Cambria" w:eastAsia="Times New Roman" w:hAnsi="Cambria" w:cs="Times New Roman"/>
          <w:i/>
        </w:rPr>
        <w:t>days of payable</w:t>
      </w:r>
      <w:r w:rsidRPr="008870AE">
        <w:rPr>
          <w:rFonts w:ascii="Cambria" w:eastAsia="Times New Roman" w:hAnsi="Cambria" w:cs="Times New Roman"/>
        </w:rPr>
        <w:t xml:space="preserve">. Penelitian yang dilakukan oleh Tran </w:t>
      </w:r>
      <w:r w:rsidRPr="008870AE">
        <w:rPr>
          <w:rFonts w:ascii="Cambria" w:eastAsia="Times New Roman" w:hAnsi="Cambria" w:cs="Times New Roman"/>
          <w:i/>
        </w:rPr>
        <w:t>et al.</w:t>
      </w:r>
      <w:r w:rsidRPr="008870AE">
        <w:rPr>
          <w:rFonts w:ascii="Cambria" w:eastAsia="Times New Roman" w:hAnsi="Cambria" w:cs="Times New Roman"/>
        </w:rPr>
        <w:t xml:space="preserve"> (2017) menemukan bahwa piutang dapat menjadi salah satu aspek yang dapat mendorong penjualan. Pembeli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lebih tertarik pada perusahaan yang memberikan jangka waktu pelunasan piutang yang lebih panjang. Periode yang lebih panjang tersebut memberikan kesempatan bagi pembeli untuk meninjau kualitas dari produk sebelum pembayaran dilakukan.</w:t>
      </w:r>
    </w:p>
    <w:p w:rsidR="007A5A37" w:rsidRPr="008870AE" w:rsidRDefault="007A5A37" w:rsidP="001939E3">
      <w:pPr>
        <w:spacing w:before="240" w:after="0" w:line="240" w:lineRule="auto"/>
        <w:ind w:firstLine="360"/>
        <w:jc w:val="both"/>
        <w:rPr>
          <w:rFonts w:ascii="Cambria" w:eastAsia="Times New Roman" w:hAnsi="Cambria" w:cs="Times New Roman"/>
          <w:i/>
        </w:rPr>
      </w:pPr>
      <w:r w:rsidRPr="008870AE">
        <w:rPr>
          <w:rFonts w:ascii="Cambria" w:eastAsia="Times New Roman" w:hAnsi="Cambria" w:cs="Times New Roman"/>
        </w:rPr>
        <w:t xml:space="preserve">Berbeda dengan penelitian yang dilakukan oleh Tran </w:t>
      </w:r>
      <w:r w:rsidRPr="008870AE">
        <w:rPr>
          <w:rFonts w:ascii="Cambria" w:eastAsia="Times New Roman" w:hAnsi="Cambria" w:cs="Times New Roman"/>
          <w:i/>
        </w:rPr>
        <w:t>et al.</w:t>
      </w:r>
      <w:r w:rsidRPr="008870AE">
        <w:rPr>
          <w:rFonts w:ascii="Cambria" w:eastAsia="Times New Roman" w:hAnsi="Cambria" w:cs="Times New Roman"/>
        </w:rPr>
        <w:t xml:space="preserve"> (2017), Ukaegbu (2014) menyatakan bahwa periode pelunasan piutang yang panjang dapat memunculkan permasalahan likuiditas bagi perusahaan. Piutang yang dibiarkan terlalu lama tidak tertagih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mengurangi jumlah arus kas masuk bagi perusahaan. Jika dibiarkan lebih lanjut, perusahaan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kehilangan kemampuannya untuk membiayai kegiatan operasi sehari-hari ataupun melunasi utang jangka pendeknya. Selanjutnya, perusahaan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membutuhkan sumber pendanaan lain yang akan menimbulkan beban bunga dan mengurangi profitabilitas perusahaan. Oleh karena itu, perusahaan perlu untuk mempercepat proses konversi piutang menjadi kas untuk meningkatkan profitabilitas.</w:t>
      </w:r>
    </w:p>
    <w:p w:rsidR="007A5A37" w:rsidRPr="008870AE" w:rsidRDefault="007A5A37" w:rsidP="001939E3">
      <w:pPr>
        <w:spacing w:after="0" w:line="240" w:lineRule="auto"/>
        <w:ind w:firstLine="360"/>
        <w:jc w:val="both"/>
        <w:rPr>
          <w:rFonts w:ascii="Cambria" w:eastAsia="Times New Roman" w:hAnsi="Cambria" w:cs="Times New Roman"/>
          <w:i/>
        </w:rPr>
      </w:pPr>
      <w:r w:rsidRPr="008870AE">
        <w:rPr>
          <w:rFonts w:ascii="Cambria" w:eastAsia="Times New Roman" w:hAnsi="Cambria" w:cs="Times New Roman"/>
          <w:b/>
        </w:rPr>
        <w:t xml:space="preserve">H1b. </w:t>
      </w:r>
      <w:r w:rsidRPr="008870AE">
        <w:rPr>
          <w:rFonts w:ascii="Cambria" w:eastAsia="Times New Roman" w:hAnsi="Cambria" w:cs="Times New Roman"/>
          <w:i/>
        </w:rPr>
        <w:t>Terdapat hubungan negatif antara days of receivable dengan profitabilitas.</w:t>
      </w:r>
    </w:p>
    <w:p w:rsidR="007A5A37" w:rsidRPr="008870AE" w:rsidRDefault="007A5A37" w:rsidP="001939E3">
      <w:pPr>
        <w:spacing w:after="0" w:line="240" w:lineRule="auto"/>
        <w:ind w:left="360"/>
        <w:jc w:val="both"/>
        <w:rPr>
          <w:rFonts w:ascii="Cambria" w:eastAsia="Times New Roman" w:hAnsi="Cambria" w:cs="Times New Roman"/>
          <w:i/>
        </w:rPr>
      </w:pPr>
    </w:p>
    <w:p w:rsidR="001939E3" w:rsidRPr="008870AE" w:rsidRDefault="007A5A37" w:rsidP="001939E3">
      <w:pPr>
        <w:spacing w:after="0" w:line="240" w:lineRule="auto"/>
        <w:jc w:val="both"/>
        <w:rPr>
          <w:rFonts w:ascii="Cambria" w:eastAsia="Times New Roman" w:hAnsi="Cambria" w:cs="Times New Roman"/>
          <w:i/>
        </w:rPr>
      </w:pPr>
      <w:r w:rsidRPr="008870AE">
        <w:rPr>
          <w:rFonts w:ascii="Cambria" w:eastAsia="Times New Roman" w:hAnsi="Cambria" w:cs="Times New Roman"/>
          <w:i/>
        </w:rPr>
        <w:t>Days of Payable dan Profitabilitas</w:t>
      </w:r>
    </w:p>
    <w:p w:rsidR="001939E3" w:rsidRPr="008870AE" w:rsidRDefault="007A5A37" w:rsidP="001939E3">
      <w:pPr>
        <w:spacing w:line="240" w:lineRule="auto"/>
        <w:ind w:firstLine="720"/>
        <w:jc w:val="both"/>
        <w:rPr>
          <w:rFonts w:ascii="Cambria" w:eastAsia="Times New Roman" w:hAnsi="Cambria" w:cs="Times New Roman"/>
          <w:i/>
        </w:rPr>
      </w:pPr>
      <w:r w:rsidRPr="008870AE">
        <w:rPr>
          <w:rFonts w:ascii="Cambria" w:eastAsia="Times New Roman" w:hAnsi="Cambria" w:cs="Times New Roman"/>
        </w:rPr>
        <w:t xml:space="preserve">Komponen terakhir dari CCC adalah </w:t>
      </w:r>
      <w:r w:rsidRPr="008870AE">
        <w:rPr>
          <w:rFonts w:ascii="Cambria" w:eastAsia="Times New Roman" w:hAnsi="Cambria" w:cs="Times New Roman"/>
          <w:i/>
        </w:rPr>
        <w:t>days of payable</w:t>
      </w:r>
      <w:r w:rsidRPr="008870AE">
        <w:rPr>
          <w:rFonts w:ascii="Cambria" w:eastAsia="Times New Roman" w:hAnsi="Cambria" w:cs="Times New Roman"/>
        </w:rPr>
        <w:t xml:space="preserve">. Menurut Enqvist </w:t>
      </w:r>
      <w:r w:rsidRPr="008870AE">
        <w:rPr>
          <w:rFonts w:ascii="Cambria" w:eastAsia="Times New Roman" w:hAnsi="Cambria" w:cs="Times New Roman"/>
          <w:i/>
        </w:rPr>
        <w:t xml:space="preserve">et al. </w:t>
      </w:r>
      <w:r w:rsidRPr="008870AE">
        <w:rPr>
          <w:rFonts w:ascii="Cambria" w:eastAsia="Times New Roman" w:hAnsi="Cambria" w:cs="Times New Roman"/>
        </w:rPr>
        <w:t xml:space="preserve">(2014), efisiensi manajemen modal kerja dilakukan dengan semakin memperlambat pembayaran utang kepada pemasok. Namun, penelitian yang dilakukan oleh </w:t>
      </w:r>
      <w:r w:rsidRPr="008870AE">
        <w:rPr>
          <w:rFonts w:ascii="Cambria" w:eastAsia="Times New Roman" w:hAnsi="Cambria" w:cs="Times New Roman"/>
          <w:i/>
        </w:rPr>
        <w:t>Tran</w:t>
      </w:r>
      <w:r w:rsidRPr="008870AE">
        <w:rPr>
          <w:rFonts w:ascii="Cambria" w:eastAsia="Times New Roman" w:hAnsi="Cambria" w:cs="Times New Roman"/>
        </w:rPr>
        <w:t xml:space="preserve"> </w:t>
      </w:r>
      <w:r w:rsidRPr="008870AE">
        <w:rPr>
          <w:rFonts w:ascii="Cambria" w:eastAsia="Times New Roman" w:hAnsi="Cambria" w:cs="Times New Roman"/>
          <w:i/>
        </w:rPr>
        <w:t>et al.</w:t>
      </w:r>
      <w:r w:rsidRPr="008870AE">
        <w:rPr>
          <w:rFonts w:ascii="Cambria" w:eastAsia="Times New Roman" w:hAnsi="Cambria" w:cs="Times New Roman"/>
        </w:rPr>
        <w:t xml:space="preserve"> (2017) menemukan bahwa perusahaan justru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diuntungkan ketika mempercepat pembayaran utangnya. Hal ini terjadi karena pemasok umumnya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memberikan potongan harga (diskon) jika pembeli melakukan pembayaran lebih cepat. Dengan menunda pelunasan utang, maka perusahaan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kehilangan kesempatan untuk mendapatkan diskon tersebut.</w:t>
      </w:r>
    </w:p>
    <w:p w:rsidR="001939E3" w:rsidRPr="008870AE" w:rsidRDefault="007A5A37" w:rsidP="001939E3">
      <w:pPr>
        <w:spacing w:after="0" w:line="240" w:lineRule="auto"/>
        <w:ind w:firstLine="720"/>
        <w:jc w:val="both"/>
        <w:rPr>
          <w:rFonts w:ascii="Cambria" w:eastAsia="Times New Roman" w:hAnsi="Cambria" w:cs="Times New Roman"/>
          <w:i/>
        </w:rPr>
      </w:pPr>
      <w:r w:rsidRPr="008870AE">
        <w:rPr>
          <w:rFonts w:ascii="Cambria" w:eastAsia="Times New Roman" w:hAnsi="Cambria" w:cs="Times New Roman"/>
        </w:rPr>
        <w:t xml:space="preserve">Manajemen modal kerja turut membahas mengenai </w:t>
      </w:r>
      <w:r w:rsidRPr="008870AE">
        <w:rPr>
          <w:rFonts w:ascii="Cambria" w:eastAsia="Times New Roman" w:hAnsi="Cambria" w:cs="Times New Roman"/>
          <w:i/>
        </w:rPr>
        <w:t>trade off</w:t>
      </w:r>
      <w:r w:rsidRPr="008870AE">
        <w:rPr>
          <w:rFonts w:ascii="Cambria" w:eastAsia="Times New Roman" w:hAnsi="Cambria" w:cs="Times New Roman"/>
        </w:rPr>
        <w:t xml:space="preserve"> antara likuiditas dan profitabilitas. Sama seperti pentingya pengelolaan pelunasan piutang, perusahaan perlu untuk memperpanjang pelunasan utang untuk menjaga level kas. Jika perusahaan mengalami permasalahan likuiditas dan memerlukan pendanaan dari pihak eksternal, maka beban dari sumber pendanaan tersebut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mengurangi profitabilitas perusahaan (Ukaegbu, 2014). Maka, secara tidak langsung, perlambatan pembayaran utang dapat meningkatkan profitabilitas perusahaan.</w:t>
      </w:r>
    </w:p>
    <w:p w:rsidR="007A5A37" w:rsidRPr="008870AE" w:rsidRDefault="007A5A37" w:rsidP="001939E3">
      <w:pPr>
        <w:spacing w:after="0" w:line="240" w:lineRule="auto"/>
        <w:ind w:firstLine="426"/>
        <w:jc w:val="both"/>
        <w:rPr>
          <w:rFonts w:ascii="Cambria" w:eastAsia="Times New Roman" w:hAnsi="Cambria" w:cs="Times New Roman"/>
          <w:i/>
        </w:rPr>
      </w:pPr>
      <w:r w:rsidRPr="008870AE">
        <w:rPr>
          <w:rFonts w:ascii="Cambria" w:eastAsia="Times New Roman" w:hAnsi="Cambria" w:cs="Times New Roman"/>
          <w:b/>
        </w:rPr>
        <w:t xml:space="preserve">H1c. </w:t>
      </w:r>
      <w:r w:rsidRPr="008870AE">
        <w:rPr>
          <w:rFonts w:ascii="Cambria" w:eastAsia="Times New Roman" w:hAnsi="Cambria" w:cs="Times New Roman"/>
          <w:i/>
        </w:rPr>
        <w:t>Terdapat hubungan positif antara days of payable dengan profitabilitas.</w:t>
      </w:r>
    </w:p>
    <w:p w:rsidR="007A5A37" w:rsidRPr="008870AE" w:rsidRDefault="007A5A37" w:rsidP="001939E3">
      <w:pPr>
        <w:spacing w:after="0" w:line="240" w:lineRule="auto"/>
        <w:jc w:val="both"/>
        <w:rPr>
          <w:rFonts w:ascii="Cambria" w:eastAsia="Times New Roman" w:hAnsi="Cambria" w:cs="Times New Roman"/>
        </w:rPr>
      </w:pPr>
    </w:p>
    <w:p w:rsidR="001939E3" w:rsidRPr="008870AE" w:rsidRDefault="007A5A37" w:rsidP="001939E3">
      <w:pPr>
        <w:pStyle w:val="ListParagraph"/>
        <w:numPr>
          <w:ilvl w:val="2"/>
          <w:numId w:val="1"/>
        </w:numPr>
        <w:spacing w:after="0" w:line="240" w:lineRule="auto"/>
        <w:ind w:left="567" w:hanging="567"/>
        <w:jc w:val="both"/>
        <w:rPr>
          <w:rFonts w:ascii="Cambria" w:eastAsia="Times New Roman" w:hAnsi="Cambria" w:cs="Times New Roman"/>
        </w:rPr>
      </w:pPr>
      <w:r w:rsidRPr="008870AE">
        <w:rPr>
          <w:rFonts w:ascii="Cambria" w:eastAsia="Times New Roman" w:hAnsi="Cambria" w:cs="Times New Roman"/>
        </w:rPr>
        <w:t>Pengaruh Kondisi Resesi terhadap Hubungan Manajemen Modal Kerja dan Profitabilitas</w:t>
      </w:r>
    </w:p>
    <w:p w:rsidR="001939E3" w:rsidRPr="008870AE" w:rsidRDefault="007A5A37" w:rsidP="001939E3">
      <w:pPr>
        <w:spacing w:after="0" w:line="240" w:lineRule="auto"/>
        <w:jc w:val="both"/>
        <w:rPr>
          <w:rFonts w:ascii="Cambria" w:eastAsia="Times New Roman" w:hAnsi="Cambria" w:cs="Times New Roman"/>
        </w:rPr>
      </w:pPr>
      <w:r w:rsidRPr="008870AE">
        <w:rPr>
          <w:rFonts w:ascii="Cambria" w:eastAsia="Times New Roman" w:hAnsi="Cambria" w:cs="Times New Roman"/>
          <w:i/>
        </w:rPr>
        <w:t>Pengaruh Kondisi Resesi terhadap Hubungan CCC dan Profitabilitas</w:t>
      </w:r>
    </w:p>
    <w:p w:rsidR="001939E3" w:rsidRPr="008870AE" w:rsidRDefault="007A5A37" w:rsidP="001939E3">
      <w:pPr>
        <w:spacing w:line="240" w:lineRule="auto"/>
        <w:ind w:firstLine="360"/>
        <w:jc w:val="both"/>
        <w:rPr>
          <w:rFonts w:ascii="Cambria" w:eastAsia="Times New Roman" w:hAnsi="Cambria" w:cs="Times New Roman"/>
        </w:rPr>
      </w:pPr>
      <w:r w:rsidRPr="008870AE">
        <w:rPr>
          <w:rFonts w:ascii="Cambria" w:eastAsia="Times New Roman" w:hAnsi="Cambria" w:cs="Times New Roman"/>
        </w:rPr>
        <w:t xml:space="preserve">Tidak hanya dari kondisi internal perusahaan, modal kerja juga dapat dipengaruhi oleh kondisi eksternal, seperti keadaan makroekonomi suatu negara (Johnson &amp; Soenan, 2003). Saat resesi terjadi, daya beli masyarakat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mengalami pelemahan (Enqvist </w:t>
      </w:r>
      <w:r w:rsidRPr="008870AE">
        <w:rPr>
          <w:rFonts w:ascii="Cambria" w:eastAsia="Times New Roman" w:hAnsi="Cambria" w:cs="Times New Roman"/>
          <w:i/>
        </w:rPr>
        <w:t>et al.</w:t>
      </w:r>
      <w:r w:rsidRPr="008870AE">
        <w:rPr>
          <w:rFonts w:ascii="Cambria" w:eastAsia="Times New Roman" w:hAnsi="Cambria" w:cs="Times New Roman"/>
        </w:rPr>
        <w:t xml:space="preserve">, 2014). Sebagai akibatnya, tingkat penjualan mengalami penurunan dan perputaran aset menjadi kas pun turut mengalami </w:t>
      </w:r>
      <w:r w:rsidRPr="008870AE">
        <w:rPr>
          <w:rFonts w:ascii="Cambria" w:eastAsia="Times New Roman" w:hAnsi="Cambria" w:cs="Times New Roman"/>
        </w:rPr>
        <w:lastRenderedPageBreak/>
        <w:t xml:space="preserve">perlambatan. Jika likuiditas perusahaan terus memburuk, maka profitabilitas juga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terancam (Korajczyk &amp; Levy, 2003).</w:t>
      </w:r>
    </w:p>
    <w:p w:rsidR="001939E3" w:rsidRPr="008870AE" w:rsidRDefault="007A5A37" w:rsidP="001939E3">
      <w:pPr>
        <w:spacing w:after="0" w:line="240" w:lineRule="auto"/>
        <w:ind w:firstLine="360"/>
        <w:jc w:val="both"/>
        <w:rPr>
          <w:rFonts w:ascii="Cambria" w:eastAsia="Times New Roman" w:hAnsi="Cambria" w:cs="Times New Roman"/>
        </w:rPr>
      </w:pPr>
      <w:r w:rsidRPr="008870AE">
        <w:rPr>
          <w:rFonts w:ascii="Cambria" w:eastAsia="Times New Roman" w:hAnsi="Cambria" w:cs="Times New Roman"/>
        </w:rPr>
        <w:t xml:space="preserve">Kondisi resesi tidak hanya memengaruhi daya beli, namun juga akses terhadap kapital atau modal. Akses kapital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semakin terbatas karena batas pinjaman yang diizinkan oleh perbankan akan semakin kecil dan tingkat suku bunga yang ditawarkan akan semakin besar. Dengan adanya keterbatasan tersebut, perusahaan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lebih mengandalkan pendanaan internalnya untuk kegiatan operasi sehari-hari. Pernyataan tersebut sejalan dengan penelitian yang dilakukan oleh de Almeida dan Eid (2012). Dengan kata lain, peran manajemen modal kerja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semakin signifikan saat kondisi resesi dibandingkan pada saat kondisi ekonomi normal.</w:t>
      </w:r>
    </w:p>
    <w:p w:rsidR="007A5A37" w:rsidRPr="008870AE" w:rsidRDefault="007A5A37" w:rsidP="001939E3">
      <w:pPr>
        <w:spacing w:line="240" w:lineRule="auto"/>
        <w:ind w:firstLine="426"/>
        <w:jc w:val="both"/>
        <w:rPr>
          <w:rFonts w:ascii="Cambria" w:eastAsia="Times New Roman" w:hAnsi="Cambria" w:cs="Times New Roman"/>
        </w:rPr>
      </w:pPr>
      <w:r w:rsidRPr="008870AE">
        <w:rPr>
          <w:rFonts w:ascii="Cambria" w:eastAsia="Times New Roman" w:hAnsi="Cambria" w:cs="Times New Roman"/>
          <w:b/>
        </w:rPr>
        <w:t xml:space="preserve">H2. </w:t>
      </w:r>
      <w:r w:rsidRPr="008870AE">
        <w:rPr>
          <w:rFonts w:ascii="Cambria" w:eastAsia="Times New Roman" w:hAnsi="Cambria" w:cs="Times New Roman"/>
        </w:rPr>
        <w:t>Ko</w:t>
      </w:r>
      <w:r w:rsidRPr="008870AE">
        <w:rPr>
          <w:rFonts w:ascii="Cambria" w:eastAsia="Times New Roman" w:hAnsi="Cambria" w:cs="Times New Roman"/>
          <w:i/>
        </w:rPr>
        <w:t>ndisi Resesi memperkuat hubungan antara cash conversion cycle dan profitabilitas.</w:t>
      </w:r>
    </w:p>
    <w:p w:rsidR="001939E3" w:rsidRPr="008870AE" w:rsidRDefault="007A5A37" w:rsidP="001939E3">
      <w:pPr>
        <w:spacing w:after="0" w:line="240" w:lineRule="auto"/>
        <w:jc w:val="both"/>
        <w:rPr>
          <w:rFonts w:ascii="Cambria" w:eastAsia="Times New Roman" w:hAnsi="Cambria" w:cs="Times New Roman"/>
        </w:rPr>
      </w:pPr>
      <w:r w:rsidRPr="008870AE">
        <w:rPr>
          <w:rFonts w:ascii="Cambria" w:eastAsia="Times New Roman" w:hAnsi="Cambria" w:cs="Times New Roman"/>
          <w:i/>
        </w:rPr>
        <w:t>Pengaruh Kondisi Resesi terhadap Hubungan DOI dan Profitabilitas</w:t>
      </w:r>
    </w:p>
    <w:p w:rsidR="001939E3" w:rsidRPr="008870AE" w:rsidRDefault="007A5A37" w:rsidP="001939E3">
      <w:pPr>
        <w:spacing w:after="0" w:line="240" w:lineRule="auto"/>
        <w:ind w:firstLine="360"/>
        <w:jc w:val="both"/>
        <w:rPr>
          <w:rFonts w:ascii="Cambria" w:eastAsia="Times New Roman" w:hAnsi="Cambria" w:cs="Times New Roman"/>
        </w:rPr>
      </w:pPr>
      <w:r w:rsidRPr="008870AE">
        <w:rPr>
          <w:rFonts w:ascii="Cambria" w:eastAsia="Times New Roman" w:hAnsi="Cambria" w:cs="Times New Roman"/>
        </w:rPr>
        <w:t xml:space="preserve">Saat resesi, daya beli masyarakat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mengalami penurunan, sehingga menurunkan tingkat penjualan (Enqvist </w:t>
      </w:r>
      <w:r w:rsidRPr="008870AE">
        <w:rPr>
          <w:rFonts w:ascii="Cambria" w:eastAsia="Times New Roman" w:hAnsi="Cambria" w:cs="Times New Roman"/>
          <w:i/>
        </w:rPr>
        <w:t xml:space="preserve">et al., </w:t>
      </w:r>
      <w:r w:rsidRPr="008870AE">
        <w:rPr>
          <w:rFonts w:ascii="Cambria" w:eastAsia="Times New Roman" w:hAnsi="Cambria" w:cs="Times New Roman"/>
        </w:rPr>
        <w:t xml:space="preserve">2014). Penurunan tingkat penjualan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memperlambat perputaran persediaan dan meningkatkan beban-beban operasional, seperti beban sewa gudang (Tran </w:t>
      </w:r>
      <w:r w:rsidRPr="008870AE">
        <w:rPr>
          <w:rFonts w:ascii="Cambria" w:eastAsia="Times New Roman" w:hAnsi="Cambria" w:cs="Times New Roman"/>
          <w:i/>
        </w:rPr>
        <w:t>et al</w:t>
      </w:r>
      <w:r w:rsidRPr="008870AE">
        <w:rPr>
          <w:rFonts w:ascii="Cambria" w:eastAsia="Times New Roman" w:hAnsi="Cambria" w:cs="Times New Roman"/>
        </w:rPr>
        <w:t xml:space="preserve">., 2014). Beban-beban tersebut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menjadi pengurang dari keuntungan yang dihasilkan perusahaan. Maka dari itu, perusahaan-perusahaan yang dapat meningkatkan efisiensi perputaran persediaannya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memperoleh profitabilitas yang lebih tinggi. Dengan demikian, kondisi resesi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memperkuat hubungan antara DOI dan profitabilitas.</w:t>
      </w:r>
    </w:p>
    <w:p w:rsidR="007A5A37" w:rsidRPr="008870AE" w:rsidRDefault="007A5A37" w:rsidP="001939E3">
      <w:pPr>
        <w:spacing w:line="240" w:lineRule="auto"/>
        <w:ind w:firstLine="426"/>
        <w:jc w:val="both"/>
        <w:rPr>
          <w:rFonts w:ascii="Cambria" w:eastAsia="Times New Roman" w:hAnsi="Cambria" w:cs="Times New Roman"/>
        </w:rPr>
      </w:pPr>
      <w:r w:rsidRPr="008870AE">
        <w:rPr>
          <w:rFonts w:ascii="Cambria" w:eastAsia="Times New Roman" w:hAnsi="Cambria" w:cs="Times New Roman"/>
          <w:b/>
        </w:rPr>
        <w:t xml:space="preserve">H2a. </w:t>
      </w:r>
      <w:r w:rsidRPr="008870AE">
        <w:rPr>
          <w:rFonts w:ascii="Cambria" w:eastAsia="Times New Roman" w:hAnsi="Cambria" w:cs="Times New Roman"/>
          <w:i/>
        </w:rPr>
        <w:t>Kondisi Resesi memperkuat hubungan antara days of inventory dan profitabilitas.</w:t>
      </w:r>
    </w:p>
    <w:p w:rsidR="001939E3" w:rsidRPr="008870AE" w:rsidRDefault="007A5A37" w:rsidP="001939E3">
      <w:pPr>
        <w:spacing w:after="0" w:line="240" w:lineRule="auto"/>
        <w:jc w:val="both"/>
        <w:rPr>
          <w:rFonts w:ascii="Cambria" w:eastAsia="Times New Roman" w:hAnsi="Cambria" w:cs="Times New Roman"/>
        </w:rPr>
      </w:pPr>
      <w:r w:rsidRPr="008870AE">
        <w:rPr>
          <w:rFonts w:ascii="Cambria" w:eastAsia="Times New Roman" w:hAnsi="Cambria" w:cs="Times New Roman"/>
          <w:i/>
        </w:rPr>
        <w:t>Pengaruh Kondisi Resesi terhadap Hubungan DOR dan Profitabilitas</w:t>
      </w:r>
    </w:p>
    <w:p w:rsidR="001939E3" w:rsidRPr="008870AE" w:rsidRDefault="007A5A37" w:rsidP="001939E3">
      <w:pPr>
        <w:spacing w:after="0" w:line="240" w:lineRule="auto"/>
        <w:ind w:firstLine="360"/>
        <w:jc w:val="both"/>
        <w:rPr>
          <w:rFonts w:ascii="Cambria" w:eastAsia="Times New Roman" w:hAnsi="Cambria" w:cs="Times New Roman"/>
        </w:rPr>
      </w:pPr>
      <w:r w:rsidRPr="008870AE">
        <w:rPr>
          <w:rFonts w:ascii="Cambria" w:eastAsia="Times New Roman" w:hAnsi="Cambria" w:cs="Times New Roman"/>
        </w:rPr>
        <w:t xml:space="preserve">Tidak hanya menurunkan daya beli masyarakat, kondisi resesi juga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mengurangi akses perusahaan kepada sumber pendanaan. Oleh karena itu, tingkat likuiditas perusahaan perlu menjadi perhatian bagi perusahaan pada saat resesi terjadi. Salah satu </w:t>
      </w:r>
      <w:proofErr w:type="gramStart"/>
      <w:r w:rsidRPr="008870AE">
        <w:rPr>
          <w:rFonts w:ascii="Cambria" w:eastAsia="Times New Roman" w:hAnsi="Cambria" w:cs="Times New Roman"/>
        </w:rPr>
        <w:t>cara</w:t>
      </w:r>
      <w:proofErr w:type="gramEnd"/>
      <w:r w:rsidRPr="008870AE">
        <w:rPr>
          <w:rFonts w:ascii="Cambria" w:eastAsia="Times New Roman" w:hAnsi="Cambria" w:cs="Times New Roman"/>
        </w:rPr>
        <w:t xml:space="preserve"> yang dapat dilakukan untuk mengelola tingkat likuiditas adalah dengan melakukan pengelolaan periode piutang. Dengan mempercepat pelunasan piutang, perusahaan dapat menjaga kas pada level yang optimal, sehingga tidak perlu mengambil sumber pendanaan eksternal (Ukaegbu, 2014). Hal ini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lebih menguntungkan perusahaan karena beban bunga pada saat kondisi resesi akan lebih tinggi di</w:t>
      </w:r>
      <w:r w:rsidR="001939E3" w:rsidRPr="008870AE">
        <w:rPr>
          <w:rFonts w:ascii="Cambria" w:eastAsia="Times New Roman" w:hAnsi="Cambria" w:cs="Times New Roman"/>
        </w:rPr>
        <w:t>bandingkan saat kondisi normal.</w:t>
      </w:r>
    </w:p>
    <w:p w:rsidR="007A5A37" w:rsidRPr="008870AE" w:rsidRDefault="007A5A37" w:rsidP="001939E3">
      <w:pPr>
        <w:spacing w:line="240" w:lineRule="auto"/>
        <w:ind w:firstLine="426"/>
        <w:jc w:val="both"/>
        <w:rPr>
          <w:rFonts w:ascii="Cambria" w:eastAsia="Times New Roman" w:hAnsi="Cambria" w:cs="Times New Roman"/>
        </w:rPr>
      </w:pPr>
      <w:r w:rsidRPr="008870AE">
        <w:rPr>
          <w:rFonts w:ascii="Cambria" w:eastAsia="Times New Roman" w:hAnsi="Cambria" w:cs="Times New Roman"/>
          <w:b/>
        </w:rPr>
        <w:t xml:space="preserve">H2b. </w:t>
      </w:r>
      <w:r w:rsidRPr="008870AE">
        <w:rPr>
          <w:rFonts w:ascii="Cambria" w:eastAsia="Times New Roman" w:hAnsi="Cambria" w:cs="Times New Roman"/>
          <w:i/>
        </w:rPr>
        <w:t>Kondisi Resesi memperkuat hubungan antara days of receivable dan profitabilitas.</w:t>
      </w:r>
    </w:p>
    <w:p w:rsidR="001939E3" w:rsidRPr="008870AE" w:rsidRDefault="007A5A37" w:rsidP="001939E3">
      <w:pPr>
        <w:spacing w:after="0" w:line="240" w:lineRule="auto"/>
        <w:jc w:val="both"/>
        <w:rPr>
          <w:rFonts w:ascii="Cambria" w:eastAsia="Times New Roman" w:hAnsi="Cambria" w:cs="Times New Roman"/>
          <w:i/>
        </w:rPr>
      </w:pPr>
      <w:r w:rsidRPr="008870AE">
        <w:rPr>
          <w:rFonts w:ascii="Cambria" w:eastAsia="Times New Roman" w:hAnsi="Cambria" w:cs="Times New Roman"/>
          <w:i/>
        </w:rPr>
        <w:t>Pengaruh Kondisi Resesi terhadap Hubungan DOP dan Profitabilitas</w:t>
      </w:r>
    </w:p>
    <w:p w:rsidR="001939E3" w:rsidRPr="008870AE" w:rsidRDefault="007A5A37" w:rsidP="001939E3">
      <w:pPr>
        <w:spacing w:after="0" w:line="240" w:lineRule="auto"/>
        <w:ind w:firstLine="360"/>
        <w:jc w:val="both"/>
        <w:rPr>
          <w:rFonts w:ascii="Cambria" w:eastAsia="Times New Roman" w:hAnsi="Cambria" w:cs="Times New Roman"/>
          <w:i/>
        </w:rPr>
      </w:pPr>
      <w:r w:rsidRPr="008870AE">
        <w:rPr>
          <w:rFonts w:ascii="Cambria" w:eastAsia="Times New Roman" w:hAnsi="Cambria" w:cs="Times New Roman"/>
        </w:rPr>
        <w:t xml:space="preserve">Dalam periode resesi, perusahaan dituntut untuk menggunakan sumber daya yang dimiliki dengan efisien karena adanya keterbatasan pada sumber pendanaan eksternal (Abuzayed, 2013). Perusahaan perlu menjaga level kas dan tingkat likuiditas, terutama pada kondisi resesi karena mahalnya sumber pendanaan eksternal. Menurut Haron dan Nomran (2014), semakin lama waktu bagi perusahaan untuk membayar utangnya, maka profitabilitas perusahaan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semakin meningkat. Dengan semakin memperpanjang periode pembayaran utang, perusahaan dapat menjaga level likuiditasnya dan terhindar dari beban bunga pendanaan eksternal, sehingga tingkat profitabilitas dapat tetap terjaga (Tran </w:t>
      </w:r>
      <w:r w:rsidRPr="008870AE">
        <w:rPr>
          <w:rFonts w:ascii="Cambria" w:eastAsia="Times New Roman" w:hAnsi="Cambria" w:cs="Times New Roman"/>
          <w:i/>
        </w:rPr>
        <w:t>et al.</w:t>
      </w:r>
      <w:r w:rsidRPr="008870AE">
        <w:rPr>
          <w:rFonts w:ascii="Cambria" w:eastAsia="Times New Roman" w:hAnsi="Cambria" w:cs="Times New Roman"/>
        </w:rPr>
        <w:t xml:space="preserve">, 2014). </w:t>
      </w:r>
    </w:p>
    <w:p w:rsidR="009537E5" w:rsidRPr="008870AE" w:rsidRDefault="007A5A37" w:rsidP="009537E5">
      <w:pPr>
        <w:spacing w:line="240" w:lineRule="auto"/>
        <w:ind w:firstLine="426"/>
        <w:jc w:val="both"/>
        <w:rPr>
          <w:rFonts w:ascii="Cambria" w:eastAsia="Times New Roman" w:hAnsi="Cambria" w:cs="Times New Roman"/>
          <w:i/>
        </w:rPr>
      </w:pPr>
      <w:r w:rsidRPr="008870AE">
        <w:rPr>
          <w:rFonts w:ascii="Cambria" w:eastAsia="Times New Roman" w:hAnsi="Cambria" w:cs="Times New Roman"/>
          <w:b/>
        </w:rPr>
        <w:t xml:space="preserve">H2c. </w:t>
      </w:r>
      <w:r w:rsidRPr="008870AE">
        <w:rPr>
          <w:rFonts w:ascii="Cambria" w:eastAsia="Times New Roman" w:hAnsi="Cambria" w:cs="Times New Roman"/>
          <w:i/>
        </w:rPr>
        <w:t>Kondisi Resesi memperkuat hubungan antara days of payable dan profitabilitas.</w:t>
      </w:r>
    </w:p>
    <w:p w:rsidR="009537E5" w:rsidRPr="008870AE" w:rsidRDefault="009537E5" w:rsidP="009537E5">
      <w:pPr>
        <w:spacing w:after="0" w:line="240" w:lineRule="auto"/>
        <w:ind w:firstLine="426"/>
        <w:jc w:val="both"/>
        <w:rPr>
          <w:rFonts w:ascii="Cambria" w:eastAsia="Times New Roman" w:hAnsi="Cambria" w:cs="Times New Roman"/>
        </w:rPr>
      </w:pPr>
    </w:p>
    <w:p w:rsidR="001939E3" w:rsidRPr="008870AE" w:rsidRDefault="009537E5" w:rsidP="001939E3">
      <w:pPr>
        <w:pStyle w:val="ListParagraph"/>
        <w:numPr>
          <w:ilvl w:val="1"/>
          <w:numId w:val="1"/>
        </w:numPr>
        <w:spacing w:after="0" w:line="480" w:lineRule="auto"/>
        <w:ind w:left="284" w:hanging="284"/>
        <w:jc w:val="both"/>
        <w:rPr>
          <w:rFonts w:ascii="Cambria" w:eastAsia="Times New Roman" w:hAnsi="Cambria" w:cs="Times New Roman"/>
          <w:i/>
        </w:rPr>
      </w:pPr>
      <w:r w:rsidRPr="008870AE">
        <w:rPr>
          <w:rFonts w:ascii="Cambria" w:eastAsia="Times New Roman" w:hAnsi="Cambria" w:cs="Times New Roman"/>
          <w:i/>
        </w:rPr>
        <w:t>Kerangka P</w:t>
      </w:r>
      <w:r w:rsidR="001939E3" w:rsidRPr="008870AE">
        <w:rPr>
          <w:rFonts w:ascii="Cambria" w:eastAsia="Times New Roman" w:hAnsi="Cambria" w:cs="Times New Roman"/>
          <w:i/>
        </w:rPr>
        <w:t>emikiran</w:t>
      </w:r>
    </w:p>
    <w:p w:rsidR="007A5A37" w:rsidRPr="008870AE" w:rsidRDefault="001939E3" w:rsidP="007210B2">
      <w:pPr>
        <w:spacing w:after="0" w:line="240" w:lineRule="auto"/>
        <w:jc w:val="center"/>
        <w:rPr>
          <w:rFonts w:ascii="Cambria" w:eastAsia="Times New Roman" w:hAnsi="Cambria" w:cs="Times New Roman"/>
        </w:rPr>
      </w:pPr>
      <w:r w:rsidRPr="008870AE">
        <w:rPr>
          <w:rFonts w:ascii="Cambria" w:eastAsia="Times New Roman" w:hAnsi="Cambria" w:cs="Times New Roman"/>
          <w:noProof/>
        </w:rPr>
        <w:lastRenderedPageBreak/>
        <w:drawing>
          <wp:inline distT="114300" distB="114300" distL="114300" distR="114300" wp14:anchorId="1F57749C" wp14:editId="792149D4">
            <wp:extent cx="5257800" cy="2476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257800" cy="2476500"/>
                    </a:xfrm>
                    <a:prstGeom prst="rect">
                      <a:avLst/>
                    </a:prstGeom>
                    <a:ln/>
                  </pic:spPr>
                </pic:pic>
              </a:graphicData>
            </a:graphic>
          </wp:inline>
        </w:drawing>
      </w:r>
    </w:p>
    <w:p w:rsidR="007210B2" w:rsidRPr="008870AE" w:rsidRDefault="007210B2" w:rsidP="007210B2">
      <w:pPr>
        <w:spacing w:line="240" w:lineRule="auto"/>
        <w:jc w:val="center"/>
        <w:rPr>
          <w:rFonts w:ascii="Cambria" w:eastAsia="Times New Roman" w:hAnsi="Cambria" w:cs="Times New Roman"/>
        </w:rPr>
      </w:pPr>
      <w:r w:rsidRPr="008870AE">
        <w:rPr>
          <w:rFonts w:ascii="Cambria" w:eastAsia="Times New Roman" w:hAnsi="Cambria" w:cs="Times New Roman"/>
        </w:rPr>
        <w:t>Gambar 1. Kerangka Pemikiran</w:t>
      </w:r>
    </w:p>
    <w:p w:rsidR="00814F54" w:rsidRPr="008870AE" w:rsidRDefault="002C505F" w:rsidP="00814F54">
      <w:pPr>
        <w:pStyle w:val="ListParagraph"/>
        <w:numPr>
          <w:ilvl w:val="0"/>
          <w:numId w:val="1"/>
        </w:numPr>
        <w:spacing w:after="0" w:line="240" w:lineRule="auto"/>
        <w:ind w:left="284" w:hanging="284"/>
        <w:rPr>
          <w:rFonts w:ascii="Cambria" w:hAnsi="Cambria" w:cs="Times New Roman"/>
          <w:b/>
        </w:rPr>
      </w:pPr>
      <w:r w:rsidRPr="008870AE">
        <w:rPr>
          <w:rFonts w:ascii="Cambria" w:hAnsi="Cambria" w:cs="Times New Roman"/>
          <w:b/>
        </w:rPr>
        <w:t>METODA</w:t>
      </w:r>
    </w:p>
    <w:p w:rsidR="00814F54" w:rsidRPr="008870AE" w:rsidRDefault="00814F54" w:rsidP="007210B2">
      <w:pPr>
        <w:spacing w:line="240" w:lineRule="auto"/>
        <w:ind w:firstLine="284"/>
        <w:jc w:val="both"/>
        <w:rPr>
          <w:rFonts w:ascii="Cambria" w:eastAsia="Times New Roman" w:hAnsi="Cambria" w:cs="Times New Roman"/>
        </w:rPr>
      </w:pPr>
      <w:r w:rsidRPr="008870AE">
        <w:rPr>
          <w:rFonts w:ascii="Cambria" w:eastAsia="Times New Roman" w:hAnsi="Cambria" w:cs="Times New Roman"/>
        </w:rPr>
        <w:t xml:space="preserve">Untuk melakukan penelitian ini, terlebih dahulu dilakukan pengumpulan data-data yang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diolah dengan menggunakan STATA 13. Data-data yang diperoleh dari Capital IQ dan merupakan data sekunder, yakni data-data keuangan yang didapatkan dari laporan keuangan yang diterbitkan oleh perusahaan sampel. Maka dari itu, data-data dalam penelitian ini lebih bersifat kuantitatif. Data yang digunakan juga merupakan data panel, yakni data yang diambil dari berbagai perusahaan untuk suatu periode tertentu. </w:t>
      </w:r>
    </w:p>
    <w:p w:rsidR="00814F54" w:rsidRPr="008870AE" w:rsidRDefault="00814F54" w:rsidP="00814F54">
      <w:pPr>
        <w:spacing w:line="240" w:lineRule="auto"/>
        <w:ind w:left="66" w:firstLine="218"/>
        <w:jc w:val="both"/>
        <w:rPr>
          <w:rFonts w:ascii="Cambria" w:hAnsi="Cambria" w:cs="Times New Roman"/>
          <w:b/>
        </w:rPr>
      </w:pPr>
    </w:p>
    <w:p w:rsidR="00814F54" w:rsidRPr="008870AE" w:rsidRDefault="00814F54" w:rsidP="00814F54">
      <w:pPr>
        <w:pStyle w:val="ListParagraph"/>
        <w:numPr>
          <w:ilvl w:val="0"/>
          <w:numId w:val="4"/>
        </w:numPr>
        <w:spacing w:after="0" w:line="240" w:lineRule="auto"/>
        <w:ind w:left="426" w:hanging="426"/>
        <w:rPr>
          <w:rFonts w:ascii="Cambria" w:hAnsi="Cambria" w:cs="Times New Roman"/>
          <w:i/>
        </w:rPr>
      </w:pPr>
      <w:r w:rsidRPr="008870AE">
        <w:rPr>
          <w:rFonts w:ascii="Cambria" w:eastAsia="Times New Roman" w:hAnsi="Cambria" w:cs="Times New Roman"/>
          <w:i/>
        </w:rPr>
        <w:t>Populasi dan Sampel</w:t>
      </w:r>
    </w:p>
    <w:p w:rsidR="00814F54" w:rsidRPr="008870AE" w:rsidRDefault="00814F54" w:rsidP="00814F54">
      <w:pPr>
        <w:spacing w:line="240" w:lineRule="auto"/>
        <w:ind w:firstLine="426"/>
        <w:rPr>
          <w:rFonts w:ascii="Cambria" w:hAnsi="Cambria" w:cs="Times New Roman"/>
          <w:i/>
        </w:rPr>
      </w:pPr>
      <w:r w:rsidRPr="008870AE">
        <w:rPr>
          <w:rFonts w:ascii="Cambria" w:eastAsia="Times New Roman" w:hAnsi="Cambria" w:cs="Times New Roman"/>
        </w:rPr>
        <w:t xml:space="preserve">Perusahaan-perusahaan yang digunakan dalam penelitian ini merupakan perusahaan yang bergerak di sektor nonkeuangan dan tercatat pada bursa saham di Filipina, Indonesia, Malaysia, Singapura, dan Thailand. Perusahan dari sektor keuangan tidak diikutsertakan karena kerangka bisnis dari industri tersebut berbeda dibandingkan perusahaan dari industri lain. Data pada penelitian ini dipilih dengan menggunakan metode </w:t>
      </w:r>
      <w:r w:rsidRPr="008870AE">
        <w:rPr>
          <w:rFonts w:ascii="Cambria" w:eastAsia="Times New Roman" w:hAnsi="Cambria" w:cs="Times New Roman"/>
          <w:i/>
        </w:rPr>
        <w:t>judgment sampling</w:t>
      </w:r>
      <w:r w:rsidRPr="008870AE">
        <w:rPr>
          <w:rFonts w:ascii="Cambria" w:eastAsia="Times New Roman" w:hAnsi="Cambria" w:cs="Times New Roman"/>
        </w:rPr>
        <w:t>, yaitu memilih sampel berdasarkan karakteristik-karakteristik tertentu sesuai dengan tujuan-tujuan yang ingin dicapai (Kuncoro, 2009). Periode observasi dibedakan menjadi 2, yaitu kondisi resesi (2008 dan 2009), serta kondisi tidak resesi (2000-2007 dan 2010-2016). Total perusahaan yang dijadikan sampel adalah 3.012 perusahaan.</w:t>
      </w:r>
    </w:p>
    <w:p w:rsidR="00814F54" w:rsidRPr="008870AE" w:rsidRDefault="00814F54" w:rsidP="00814F54">
      <w:pPr>
        <w:pStyle w:val="ListParagraph"/>
        <w:spacing w:line="240" w:lineRule="auto"/>
        <w:ind w:left="426"/>
        <w:jc w:val="center"/>
        <w:rPr>
          <w:rFonts w:ascii="Cambria" w:eastAsia="Times New Roman" w:hAnsi="Cambria" w:cs="Times New Roman"/>
        </w:rPr>
      </w:pPr>
      <w:r w:rsidRPr="008870AE">
        <w:rPr>
          <w:rFonts w:ascii="Cambria" w:eastAsia="Times New Roman" w:hAnsi="Cambria" w:cs="Times New Roman"/>
        </w:rPr>
        <w:t>Tabel 1. Perolehan Sampel Penelitian</w:t>
      </w:r>
    </w:p>
    <w:tbl>
      <w:tblPr>
        <w:tblStyle w:val="TableGrid"/>
        <w:tblW w:w="8820" w:type="dxa"/>
        <w:tblInd w:w="421" w:type="dxa"/>
        <w:tblLayout w:type="fixed"/>
        <w:tblLook w:val="04A0" w:firstRow="1" w:lastRow="0" w:firstColumn="1" w:lastColumn="0" w:noHBand="0" w:noVBand="1"/>
      </w:tblPr>
      <w:tblGrid>
        <w:gridCol w:w="6374"/>
        <w:gridCol w:w="2446"/>
      </w:tblGrid>
      <w:tr w:rsidR="00814F54" w:rsidRPr="008870AE" w:rsidTr="00814F54">
        <w:trPr>
          <w:trHeight w:val="149"/>
        </w:trPr>
        <w:tc>
          <w:tcPr>
            <w:tcW w:w="6374" w:type="dxa"/>
          </w:tcPr>
          <w:p w:rsidR="00814F54" w:rsidRPr="008870AE" w:rsidRDefault="00814F54" w:rsidP="00814F54">
            <w:pPr>
              <w:spacing w:line="360" w:lineRule="auto"/>
              <w:jc w:val="center"/>
              <w:rPr>
                <w:rFonts w:ascii="Cambria" w:eastAsia="Times New Roman" w:hAnsi="Cambria" w:cs="Times New Roman"/>
                <w:b/>
                <w:sz w:val="20"/>
                <w:szCs w:val="20"/>
              </w:rPr>
            </w:pPr>
            <w:r w:rsidRPr="008870AE">
              <w:rPr>
                <w:rFonts w:ascii="Cambria" w:eastAsia="Times New Roman" w:hAnsi="Cambria" w:cs="Times New Roman"/>
                <w:b/>
                <w:sz w:val="20"/>
                <w:szCs w:val="20"/>
              </w:rPr>
              <w:t>Kriteria Pemilihan Sampel</w:t>
            </w:r>
          </w:p>
        </w:tc>
        <w:tc>
          <w:tcPr>
            <w:tcW w:w="2446" w:type="dxa"/>
          </w:tcPr>
          <w:p w:rsidR="00814F54" w:rsidRPr="008870AE" w:rsidRDefault="00814F54" w:rsidP="00814F54">
            <w:pPr>
              <w:spacing w:line="360" w:lineRule="auto"/>
              <w:jc w:val="center"/>
              <w:rPr>
                <w:rFonts w:ascii="Cambria" w:eastAsia="Times New Roman" w:hAnsi="Cambria" w:cs="Times New Roman"/>
                <w:b/>
                <w:sz w:val="20"/>
                <w:szCs w:val="20"/>
              </w:rPr>
            </w:pPr>
            <w:r w:rsidRPr="008870AE">
              <w:rPr>
                <w:rFonts w:ascii="Cambria" w:eastAsia="Times New Roman" w:hAnsi="Cambria" w:cs="Times New Roman"/>
                <w:b/>
                <w:sz w:val="20"/>
                <w:szCs w:val="20"/>
              </w:rPr>
              <w:t>Jumlah Perusahaan</w:t>
            </w:r>
          </w:p>
        </w:tc>
      </w:tr>
      <w:tr w:rsidR="00814F54" w:rsidRPr="008870AE" w:rsidTr="00814F54">
        <w:tc>
          <w:tcPr>
            <w:tcW w:w="6374" w:type="dxa"/>
          </w:tcPr>
          <w:p w:rsidR="00814F54" w:rsidRPr="008870AE" w:rsidRDefault="00814F54" w:rsidP="00814F54">
            <w:pPr>
              <w:spacing w:line="360" w:lineRule="auto"/>
              <w:jc w:val="center"/>
              <w:rPr>
                <w:rFonts w:ascii="Cambria" w:eastAsia="Times New Roman" w:hAnsi="Cambria" w:cs="Times New Roman"/>
                <w:sz w:val="20"/>
                <w:szCs w:val="20"/>
              </w:rPr>
            </w:pPr>
            <w:r w:rsidRPr="008870AE">
              <w:rPr>
                <w:rFonts w:ascii="Cambria" w:eastAsia="Times New Roman" w:hAnsi="Cambria" w:cs="Times New Roman"/>
                <w:sz w:val="20"/>
                <w:szCs w:val="20"/>
              </w:rPr>
              <w:t>Perusahaan yang tercatat di 5 bursa saham di Asia Tenggara</w:t>
            </w:r>
          </w:p>
        </w:tc>
        <w:tc>
          <w:tcPr>
            <w:tcW w:w="2446" w:type="dxa"/>
          </w:tcPr>
          <w:p w:rsidR="00814F54" w:rsidRPr="008870AE" w:rsidRDefault="00814F54" w:rsidP="00814F54">
            <w:pPr>
              <w:spacing w:line="360" w:lineRule="auto"/>
              <w:jc w:val="center"/>
              <w:rPr>
                <w:rFonts w:ascii="Cambria" w:eastAsia="Times New Roman" w:hAnsi="Cambria" w:cs="Times New Roman"/>
                <w:sz w:val="20"/>
                <w:szCs w:val="20"/>
              </w:rPr>
            </w:pPr>
            <w:r w:rsidRPr="008870AE">
              <w:rPr>
                <w:rFonts w:ascii="Cambria" w:eastAsia="Times New Roman" w:hAnsi="Cambria" w:cs="Times New Roman"/>
                <w:sz w:val="20"/>
                <w:szCs w:val="20"/>
              </w:rPr>
              <w:t>3.295</w:t>
            </w:r>
          </w:p>
        </w:tc>
      </w:tr>
      <w:tr w:rsidR="00814F54" w:rsidRPr="008870AE" w:rsidTr="00814F54">
        <w:tc>
          <w:tcPr>
            <w:tcW w:w="6374" w:type="dxa"/>
          </w:tcPr>
          <w:p w:rsidR="00814F54" w:rsidRPr="008870AE" w:rsidRDefault="00814F54" w:rsidP="00814F54">
            <w:pPr>
              <w:spacing w:line="360" w:lineRule="auto"/>
              <w:jc w:val="center"/>
              <w:rPr>
                <w:rFonts w:ascii="Cambria" w:eastAsia="Times New Roman" w:hAnsi="Cambria" w:cs="Times New Roman"/>
                <w:sz w:val="20"/>
                <w:szCs w:val="20"/>
              </w:rPr>
            </w:pPr>
            <w:r w:rsidRPr="008870AE">
              <w:rPr>
                <w:rFonts w:ascii="Cambria" w:eastAsia="Times New Roman" w:hAnsi="Cambria" w:cs="Times New Roman"/>
                <w:sz w:val="20"/>
                <w:szCs w:val="20"/>
              </w:rPr>
              <w:t>Perusahaan keuangan yang tercatat di 5 bursa saham di Asia Tenggara</w:t>
            </w:r>
          </w:p>
        </w:tc>
        <w:tc>
          <w:tcPr>
            <w:tcW w:w="2446" w:type="dxa"/>
          </w:tcPr>
          <w:p w:rsidR="00814F54" w:rsidRPr="008870AE" w:rsidRDefault="00814F54" w:rsidP="00814F54">
            <w:pPr>
              <w:spacing w:line="360" w:lineRule="auto"/>
              <w:jc w:val="center"/>
              <w:rPr>
                <w:rFonts w:ascii="Cambria" w:eastAsia="Times New Roman" w:hAnsi="Cambria" w:cs="Times New Roman"/>
                <w:sz w:val="20"/>
                <w:szCs w:val="20"/>
              </w:rPr>
            </w:pPr>
            <w:r w:rsidRPr="008870AE">
              <w:rPr>
                <w:rFonts w:ascii="Cambria" w:eastAsia="Times New Roman" w:hAnsi="Cambria" w:cs="Times New Roman"/>
                <w:sz w:val="20"/>
                <w:szCs w:val="20"/>
              </w:rPr>
              <w:t>(283)</w:t>
            </w:r>
          </w:p>
        </w:tc>
      </w:tr>
      <w:tr w:rsidR="00814F54" w:rsidRPr="008870AE" w:rsidTr="00814F54">
        <w:tc>
          <w:tcPr>
            <w:tcW w:w="6374" w:type="dxa"/>
          </w:tcPr>
          <w:p w:rsidR="00814F54" w:rsidRPr="008870AE" w:rsidRDefault="00814F54" w:rsidP="00814F54">
            <w:pPr>
              <w:spacing w:line="360" w:lineRule="auto"/>
              <w:jc w:val="center"/>
              <w:rPr>
                <w:rFonts w:ascii="Cambria" w:eastAsia="Times New Roman" w:hAnsi="Cambria" w:cs="Times New Roman"/>
                <w:b/>
                <w:sz w:val="20"/>
                <w:szCs w:val="20"/>
              </w:rPr>
            </w:pPr>
            <w:r w:rsidRPr="008870AE">
              <w:rPr>
                <w:rFonts w:ascii="Cambria" w:eastAsia="Times New Roman" w:hAnsi="Cambria" w:cs="Times New Roman"/>
                <w:b/>
                <w:sz w:val="20"/>
                <w:szCs w:val="20"/>
              </w:rPr>
              <w:t>Perusahaan yang digunakan sebagai sampel</w:t>
            </w:r>
          </w:p>
        </w:tc>
        <w:tc>
          <w:tcPr>
            <w:tcW w:w="2446" w:type="dxa"/>
          </w:tcPr>
          <w:p w:rsidR="00814F54" w:rsidRPr="008870AE" w:rsidRDefault="00814F54" w:rsidP="00814F54">
            <w:pPr>
              <w:spacing w:line="360" w:lineRule="auto"/>
              <w:jc w:val="center"/>
              <w:rPr>
                <w:rFonts w:ascii="Cambria" w:eastAsia="Times New Roman" w:hAnsi="Cambria" w:cs="Times New Roman"/>
                <w:b/>
                <w:sz w:val="20"/>
                <w:szCs w:val="20"/>
              </w:rPr>
            </w:pPr>
            <w:r w:rsidRPr="008870AE">
              <w:rPr>
                <w:rFonts w:ascii="Cambria" w:eastAsia="Times New Roman" w:hAnsi="Cambria" w:cs="Times New Roman"/>
                <w:b/>
                <w:sz w:val="20"/>
                <w:szCs w:val="20"/>
              </w:rPr>
              <w:t>3.012</w:t>
            </w:r>
          </w:p>
        </w:tc>
      </w:tr>
    </w:tbl>
    <w:p w:rsidR="00814F54" w:rsidRPr="008870AE" w:rsidRDefault="00814F54" w:rsidP="00814F54">
      <w:pPr>
        <w:rPr>
          <w:rFonts w:ascii="Cambria" w:eastAsia="Times New Roman" w:hAnsi="Cambria" w:cs="Times New Roman"/>
          <w:b/>
          <w:sz w:val="24"/>
          <w:szCs w:val="24"/>
        </w:rPr>
      </w:pPr>
    </w:p>
    <w:p w:rsidR="00814F54" w:rsidRPr="008870AE" w:rsidRDefault="007210B2" w:rsidP="00814F54">
      <w:pPr>
        <w:pStyle w:val="ListParagraph"/>
        <w:numPr>
          <w:ilvl w:val="0"/>
          <w:numId w:val="4"/>
        </w:numPr>
        <w:spacing w:after="0"/>
        <w:ind w:left="426" w:hanging="426"/>
        <w:rPr>
          <w:rFonts w:ascii="Cambria" w:eastAsia="Times New Roman" w:hAnsi="Cambria" w:cs="Times New Roman"/>
          <w:i/>
          <w:szCs w:val="24"/>
        </w:rPr>
      </w:pPr>
      <w:r w:rsidRPr="008870AE">
        <w:rPr>
          <w:rFonts w:ascii="Cambria" w:eastAsia="Times New Roman" w:hAnsi="Cambria" w:cs="Times New Roman"/>
          <w:i/>
          <w:szCs w:val="24"/>
        </w:rPr>
        <w:t>Data Deskriptif</w:t>
      </w:r>
    </w:p>
    <w:p w:rsidR="00814F54" w:rsidRPr="008870AE" w:rsidRDefault="00814F54" w:rsidP="00814F54">
      <w:pPr>
        <w:jc w:val="center"/>
        <w:rPr>
          <w:rFonts w:ascii="Cambria" w:eastAsia="Times New Roman" w:hAnsi="Cambria" w:cs="Times New Roman"/>
          <w:i/>
          <w:szCs w:val="24"/>
        </w:rPr>
      </w:pPr>
      <w:r w:rsidRPr="008870AE">
        <w:rPr>
          <w:rFonts w:ascii="Cambria" w:eastAsia="Times New Roman" w:hAnsi="Cambria" w:cs="Times New Roman"/>
        </w:rPr>
        <w:t>Tabel 2. Data Deskriptif</w:t>
      </w:r>
    </w:p>
    <w:tbl>
      <w:tblPr>
        <w:tblW w:w="9027"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7"/>
        <w:gridCol w:w="1305"/>
        <w:gridCol w:w="855"/>
        <w:gridCol w:w="1050"/>
        <w:gridCol w:w="1200"/>
        <w:gridCol w:w="1200"/>
        <w:gridCol w:w="1170"/>
        <w:gridCol w:w="1110"/>
      </w:tblGrid>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lastRenderedPageBreak/>
              <w:t>Variabel</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Observasi</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Mean</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Stdv.</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Max</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Min</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Skewness</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Kurtosis</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rPr>
            </w:pPr>
            <w:r w:rsidRPr="008870AE">
              <w:rPr>
                <w:rFonts w:ascii="Cambria" w:eastAsia="Times New Roman" w:hAnsi="Cambria" w:cs="Times New Roman"/>
              </w:rPr>
              <w:t>CCC</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48.346</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72,22</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110,55</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1.125,54</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-582,12</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1,71</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9,89</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rPr>
            </w:pPr>
            <w:r w:rsidRPr="008870AE">
              <w:rPr>
                <w:rFonts w:ascii="Cambria" w:eastAsia="Times New Roman" w:hAnsi="Cambria" w:cs="Times New Roman"/>
              </w:rPr>
              <w:t>DOI</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49.166</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61,39</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89,86</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599,90</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2,45</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10,88</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rPr>
            </w:pPr>
            <w:r w:rsidRPr="008870AE">
              <w:rPr>
                <w:rFonts w:ascii="Cambria" w:eastAsia="Times New Roman" w:hAnsi="Cambria" w:cs="Times New Roman"/>
              </w:rPr>
              <w:t>DOR</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50.550</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53,14</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74,47</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598,93</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2,79</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14,19</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rPr>
            </w:pPr>
            <w:r w:rsidRPr="008870AE">
              <w:rPr>
                <w:rFonts w:ascii="Cambria" w:eastAsia="Times New Roman" w:hAnsi="Cambria" w:cs="Times New Roman"/>
              </w:rPr>
              <w:t>DOP</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50.446</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41,52</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61,30</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599,54</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3,67</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22,95</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rPr>
            </w:pPr>
            <w:r w:rsidRPr="008870AE">
              <w:rPr>
                <w:rFonts w:ascii="Cambria" w:eastAsia="Times New Roman" w:hAnsi="Cambria" w:cs="Times New Roman"/>
              </w:rPr>
              <w:t>ROA</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51.135</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-49,51</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11.067,3</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1.857,20</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-2.500.000</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-225,43</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50.916,70</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spacing w:after="0" w:line="240" w:lineRule="auto"/>
              <w:rPr>
                <w:rFonts w:ascii="Cambria" w:eastAsia="Times New Roman" w:hAnsi="Cambria" w:cs="Times New Roman"/>
              </w:rPr>
            </w:pPr>
            <w:r w:rsidRPr="008870AE">
              <w:rPr>
                <w:rFonts w:ascii="Cambria" w:eastAsia="Times New Roman" w:hAnsi="Cambria" w:cs="Times New Roman"/>
              </w:rPr>
              <w:t>LEV</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38.470</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0,35</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7,41</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1.056,84</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110,71</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13.959,50</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spacing w:after="0" w:line="240" w:lineRule="auto"/>
              <w:rPr>
                <w:rFonts w:ascii="Cambria" w:eastAsia="Times New Roman" w:hAnsi="Cambria" w:cs="Times New Roman"/>
              </w:rPr>
            </w:pPr>
            <w:r w:rsidRPr="008870AE">
              <w:rPr>
                <w:rFonts w:ascii="Cambria" w:eastAsia="Times New Roman" w:hAnsi="Cambria" w:cs="Times New Roman"/>
              </w:rPr>
              <w:t>SIZE</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38.253</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4,31</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2,24</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11,42</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-11,51</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0,21</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4,08</w:t>
            </w:r>
          </w:p>
        </w:tc>
      </w:tr>
      <w:tr w:rsidR="00814F54" w:rsidRPr="008870AE" w:rsidTr="00814F54">
        <w:tc>
          <w:tcPr>
            <w:tcW w:w="1137" w:type="dxa"/>
            <w:shd w:val="clear" w:color="auto" w:fill="auto"/>
            <w:tcMar>
              <w:top w:w="100" w:type="dxa"/>
              <w:left w:w="100" w:type="dxa"/>
              <w:bottom w:w="100" w:type="dxa"/>
              <w:right w:w="100" w:type="dxa"/>
            </w:tcMar>
          </w:tcPr>
          <w:p w:rsidR="00814F54" w:rsidRPr="008870AE" w:rsidRDefault="00814F54" w:rsidP="00814F54">
            <w:pPr>
              <w:widowControl w:val="0"/>
              <w:spacing w:after="0" w:line="240" w:lineRule="auto"/>
              <w:rPr>
                <w:rFonts w:ascii="Cambria" w:eastAsia="Times New Roman" w:hAnsi="Cambria" w:cs="Times New Roman"/>
              </w:rPr>
            </w:pPr>
            <w:r w:rsidRPr="008870AE">
              <w:rPr>
                <w:rFonts w:ascii="Cambria" w:eastAsia="Times New Roman" w:hAnsi="Cambria" w:cs="Times New Roman"/>
              </w:rPr>
              <w:t>SGROW</w:t>
            </w:r>
          </w:p>
        </w:tc>
        <w:tc>
          <w:tcPr>
            <w:tcW w:w="13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51.101</w:t>
            </w:r>
          </w:p>
        </w:tc>
        <w:tc>
          <w:tcPr>
            <w:tcW w:w="85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656,94</w:t>
            </w:r>
          </w:p>
        </w:tc>
        <w:tc>
          <w:tcPr>
            <w:tcW w:w="105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77.855,1</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15.000.000</w:t>
            </w:r>
          </w:p>
        </w:tc>
        <w:tc>
          <w:tcPr>
            <w:tcW w:w="12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117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164,36</w:t>
            </w:r>
          </w:p>
        </w:tc>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29.308,80</w:t>
            </w:r>
          </w:p>
        </w:tc>
      </w:tr>
    </w:tbl>
    <w:p w:rsidR="00814F54" w:rsidRPr="008870AE" w:rsidRDefault="00814F54" w:rsidP="00814F54">
      <w:pPr>
        <w:pBdr>
          <w:top w:val="nil"/>
          <w:left w:val="nil"/>
          <w:bottom w:val="nil"/>
          <w:right w:val="nil"/>
          <w:between w:val="nil"/>
        </w:pBdr>
        <w:spacing w:after="0" w:line="240" w:lineRule="auto"/>
        <w:ind w:left="426"/>
        <w:jc w:val="both"/>
        <w:rPr>
          <w:rFonts w:ascii="Cambria" w:eastAsia="Times New Roman" w:hAnsi="Cambria" w:cs="Times New Roman"/>
          <w:sz w:val="20"/>
          <w:szCs w:val="20"/>
        </w:rPr>
      </w:pPr>
      <w:r w:rsidRPr="008870AE">
        <w:rPr>
          <w:rFonts w:ascii="Cambria" w:eastAsia="Times New Roman" w:hAnsi="Cambria" w:cs="Times New Roman"/>
          <w:sz w:val="20"/>
          <w:szCs w:val="20"/>
        </w:rPr>
        <w:t xml:space="preserve">CCC adalah </w:t>
      </w:r>
      <w:r w:rsidRPr="008870AE">
        <w:rPr>
          <w:rFonts w:ascii="Cambria" w:eastAsia="Times New Roman" w:hAnsi="Cambria" w:cs="Times New Roman"/>
          <w:i/>
          <w:sz w:val="20"/>
          <w:szCs w:val="20"/>
        </w:rPr>
        <w:t xml:space="preserve">Cash Conversion Cycle; </w:t>
      </w:r>
      <w:r w:rsidRPr="008870AE">
        <w:rPr>
          <w:rFonts w:ascii="Cambria" w:eastAsia="Times New Roman" w:hAnsi="Cambria" w:cs="Times New Roman"/>
          <w:sz w:val="20"/>
          <w:szCs w:val="20"/>
        </w:rPr>
        <w:t xml:space="preserve">DOI adalah </w:t>
      </w:r>
      <w:r w:rsidRPr="008870AE">
        <w:rPr>
          <w:rFonts w:ascii="Cambria" w:eastAsia="Times New Roman" w:hAnsi="Cambria" w:cs="Times New Roman"/>
          <w:i/>
          <w:sz w:val="20"/>
          <w:szCs w:val="20"/>
        </w:rPr>
        <w:t>Days of Inventory</w:t>
      </w:r>
      <w:r w:rsidRPr="008870AE">
        <w:rPr>
          <w:rFonts w:ascii="Cambria" w:eastAsia="Times New Roman" w:hAnsi="Cambria" w:cs="Times New Roman"/>
          <w:sz w:val="20"/>
          <w:szCs w:val="20"/>
        </w:rPr>
        <w:t xml:space="preserve">; DOR adalah </w:t>
      </w:r>
      <w:r w:rsidRPr="008870AE">
        <w:rPr>
          <w:rFonts w:ascii="Cambria" w:eastAsia="Times New Roman" w:hAnsi="Cambria" w:cs="Times New Roman"/>
          <w:i/>
          <w:sz w:val="20"/>
          <w:szCs w:val="20"/>
        </w:rPr>
        <w:t>Days of Receivable</w:t>
      </w:r>
      <w:r w:rsidRPr="008870AE">
        <w:rPr>
          <w:rFonts w:ascii="Cambria" w:eastAsia="Times New Roman" w:hAnsi="Cambria" w:cs="Times New Roman"/>
          <w:sz w:val="20"/>
          <w:szCs w:val="20"/>
        </w:rPr>
        <w:t xml:space="preserve">; DOP adalah </w:t>
      </w:r>
      <w:r w:rsidRPr="008870AE">
        <w:rPr>
          <w:rFonts w:ascii="Cambria" w:eastAsia="Times New Roman" w:hAnsi="Cambria" w:cs="Times New Roman"/>
          <w:i/>
          <w:sz w:val="20"/>
          <w:szCs w:val="20"/>
        </w:rPr>
        <w:t>Days of Payable</w:t>
      </w:r>
      <w:r w:rsidRPr="008870AE">
        <w:rPr>
          <w:rFonts w:ascii="Cambria" w:eastAsia="Times New Roman" w:hAnsi="Cambria" w:cs="Times New Roman"/>
          <w:sz w:val="20"/>
          <w:szCs w:val="20"/>
        </w:rPr>
        <w:t xml:space="preserve">; DOR adalah </w:t>
      </w:r>
      <w:r w:rsidRPr="008870AE">
        <w:rPr>
          <w:rFonts w:ascii="Cambria" w:eastAsia="Times New Roman" w:hAnsi="Cambria" w:cs="Times New Roman"/>
          <w:i/>
          <w:sz w:val="20"/>
          <w:szCs w:val="20"/>
        </w:rPr>
        <w:t>Days of Payable</w:t>
      </w:r>
      <w:r w:rsidRPr="008870AE">
        <w:rPr>
          <w:rFonts w:ascii="Cambria" w:eastAsia="Times New Roman" w:hAnsi="Cambria" w:cs="Times New Roman"/>
          <w:sz w:val="20"/>
          <w:szCs w:val="20"/>
        </w:rPr>
        <w:t xml:space="preserve">; ROA adalah </w:t>
      </w:r>
      <w:r w:rsidRPr="008870AE">
        <w:rPr>
          <w:rFonts w:ascii="Cambria" w:eastAsia="Times New Roman" w:hAnsi="Cambria" w:cs="Times New Roman"/>
          <w:i/>
          <w:sz w:val="20"/>
          <w:szCs w:val="20"/>
        </w:rPr>
        <w:t>Return on Assets</w:t>
      </w:r>
      <w:r w:rsidRPr="008870AE">
        <w:rPr>
          <w:rFonts w:ascii="Cambria" w:eastAsia="Times New Roman" w:hAnsi="Cambria" w:cs="Times New Roman"/>
          <w:sz w:val="20"/>
          <w:szCs w:val="20"/>
        </w:rPr>
        <w:t>; LEV adalah rasio utang; SIZE adalah ukuran perusahaan; SGROW adalah pertumbuhan penjualan.</w:t>
      </w:r>
    </w:p>
    <w:p w:rsidR="00814F54" w:rsidRPr="008870AE" w:rsidRDefault="00814F54" w:rsidP="00814F54">
      <w:pPr>
        <w:pBdr>
          <w:top w:val="nil"/>
          <w:left w:val="nil"/>
          <w:bottom w:val="nil"/>
          <w:right w:val="nil"/>
          <w:between w:val="nil"/>
        </w:pBdr>
        <w:spacing w:after="0" w:line="240" w:lineRule="auto"/>
        <w:jc w:val="both"/>
        <w:rPr>
          <w:rFonts w:ascii="Cambria" w:eastAsia="Times New Roman" w:hAnsi="Cambria" w:cs="Times New Roman"/>
          <w:sz w:val="20"/>
          <w:szCs w:val="20"/>
        </w:rPr>
      </w:pPr>
    </w:p>
    <w:p w:rsidR="00814F54" w:rsidRPr="008870AE" w:rsidRDefault="00814F54" w:rsidP="00814F54">
      <w:pPr>
        <w:pBdr>
          <w:top w:val="nil"/>
          <w:left w:val="nil"/>
          <w:bottom w:val="nil"/>
          <w:right w:val="nil"/>
          <w:between w:val="nil"/>
        </w:pBdr>
        <w:spacing w:after="0" w:line="240" w:lineRule="auto"/>
        <w:ind w:firstLine="360"/>
        <w:jc w:val="both"/>
        <w:rPr>
          <w:rFonts w:ascii="Cambria" w:eastAsia="Times New Roman" w:hAnsi="Cambria" w:cs="Times New Roman"/>
        </w:rPr>
      </w:pPr>
      <w:r w:rsidRPr="008870AE">
        <w:rPr>
          <w:rFonts w:ascii="Cambria" w:eastAsia="Times New Roman" w:hAnsi="Cambria" w:cs="Times New Roman"/>
        </w:rPr>
        <w:t>Tabel 2 menunjukkan statistik deskriptif dari penelitian ini. Perusahaan di Asia Tenggara membutuhkan waktu kurang lebih 3 bulan untuk mengkonversi aset jangka pendeknya menjadi kas, dilihat dari nilai rata-rata CCC. Lebih lanjut, rata-rata dari DOI, DOR, dan DOP adalah 61</w:t>
      </w:r>
      <w:proofErr w:type="gramStart"/>
      <w:r w:rsidRPr="008870AE">
        <w:rPr>
          <w:rFonts w:ascii="Cambria" w:eastAsia="Times New Roman" w:hAnsi="Cambria" w:cs="Times New Roman"/>
        </w:rPr>
        <w:t>,39</w:t>
      </w:r>
      <w:proofErr w:type="gramEnd"/>
      <w:r w:rsidRPr="008870AE">
        <w:rPr>
          <w:rFonts w:ascii="Cambria" w:eastAsia="Times New Roman" w:hAnsi="Cambria" w:cs="Times New Roman"/>
        </w:rPr>
        <w:t xml:space="preserve"> hari, 53,14 hari, dan 41,52 hari berturut-turut. Sedangkan </w:t>
      </w:r>
      <w:r w:rsidRPr="008870AE">
        <w:rPr>
          <w:rFonts w:ascii="Cambria" w:eastAsia="Times New Roman" w:hAnsi="Cambria" w:cs="Times New Roman"/>
          <w:i/>
        </w:rPr>
        <w:t xml:space="preserve">return on assets </w:t>
      </w:r>
      <w:r w:rsidRPr="008870AE">
        <w:rPr>
          <w:rFonts w:ascii="Cambria" w:eastAsia="Times New Roman" w:hAnsi="Cambria" w:cs="Times New Roman"/>
        </w:rPr>
        <w:t>dari perusahaan-perusahaan di Asia Tenggara adalah senilai -49</w:t>
      </w:r>
      <w:proofErr w:type="gramStart"/>
      <w:r w:rsidRPr="008870AE">
        <w:rPr>
          <w:rFonts w:ascii="Cambria" w:eastAsia="Times New Roman" w:hAnsi="Cambria" w:cs="Times New Roman"/>
        </w:rPr>
        <w:t>,51</w:t>
      </w:r>
      <w:proofErr w:type="gramEnd"/>
      <w:r w:rsidRPr="008870AE">
        <w:rPr>
          <w:rFonts w:ascii="Cambria" w:eastAsia="Times New Roman" w:hAnsi="Cambria" w:cs="Times New Roman"/>
        </w:rPr>
        <w:t>. Hal ini menunjukkan bahwa perusahaan di kawasan tersebut belum melakukan efisiensi penggunaan aset untuk menghasilkan profit. Di sisi lain, perusahaan di Asia Tenggara masih belum banyak menggunakan hutang sebagai pendanaan dilihat dari rata-rata LEV sebesar 0</w:t>
      </w:r>
      <w:proofErr w:type="gramStart"/>
      <w:r w:rsidRPr="008870AE">
        <w:rPr>
          <w:rFonts w:ascii="Cambria" w:eastAsia="Times New Roman" w:hAnsi="Cambria" w:cs="Times New Roman"/>
        </w:rPr>
        <w:t>,35</w:t>
      </w:r>
      <w:proofErr w:type="gramEnd"/>
      <w:r w:rsidRPr="008870AE">
        <w:rPr>
          <w:rFonts w:ascii="Cambria" w:eastAsia="Times New Roman" w:hAnsi="Cambria" w:cs="Times New Roman"/>
        </w:rPr>
        <w:t>. Perusahaan-perusahaan tersebut umumnya berukuran kecil (dengan nilai rata-rata SIZE 4</w:t>
      </w:r>
      <w:proofErr w:type="gramStart"/>
      <w:r w:rsidRPr="008870AE">
        <w:rPr>
          <w:rFonts w:ascii="Cambria" w:eastAsia="Times New Roman" w:hAnsi="Cambria" w:cs="Times New Roman"/>
        </w:rPr>
        <w:t>,31</w:t>
      </w:r>
      <w:proofErr w:type="gramEnd"/>
      <w:r w:rsidRPr="008870AE">
        <w:rPr>
          <w:rFonts w:ascii="Cambria" w:eastAsia="Times New Roman" w:hAnsi="Cambria" w:cs="Times New Roman"/>
        </w:rPr>
        <w:t>) dengan pertumbuhan penjualan yang cukup besar mencapai rata-rata 656,94.</w:t>
      </w:r>
    </w:p>
    <w:p w:rsidR="00814F54" w:rsidRPr="008870AE" w:rsidRDefault="00814F54" w:rsidP="00814F54">
      <w:pPr>
        <w:spacing w:after="0" w:line="240" w:lineRule="auto"/>
        <w:rPr>
          <w:rFonts w:ascii="Cambria" w:eastAsia="Times New Roman" w:hAnsi="Cambria" w:cs="Times New Roman"/>
          <w:b/>
        </w:rPr>
      </w:pPr>
    </w:p>
    <w:p w:rsidR="00814F54" w:rsidRPr="008870AE" w:rsidRDefault="00814F54" w:rsidP="00814F54">
      <w:pPr>
        <w:spacing w:after="0" w:line="240" w:lineRule="auto"/>
        <w:jc w:val="center"/>
        <w:rPr>
          <w:rFonts w:ascii="Cambria" w:eastAsia="Times New Roman" w:hAnsi="Cambria" w:cs="Times New Roman"/>
        </w:rPr>
      </w:pPr>
      <w:r w:rsidRPr="008870AE">
        <w:rPr>
          <w:rFonts w:ascii="Cambria" w:eastAsia="Times New Roman" w:hAnsi="Cambria" w:cs="Times New Roman"/>
        </w:rPr>
        <w:t>Tabel 3. Matriks Korelasi</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900"/>
        <w:gridCol w:w="900"/>
        <w:gridCol w:w="990"/>
        <w:gridCol w:w="1005"/>
        <w:gridCol w:w="1005"/>
        <w:gridCol w:w="1005"/>
        <w:gridCol w:w="1005"/>
        <w:gridCol w:w="1080"/>
      </w:tblGrid>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ROA</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CCC</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DOI</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DOR</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DOP</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LEV</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SIZE</w:t>
            </w: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b/>
              </w:rPr>
            </w:pPr>
            <w:r w:rsidRPr="008870AE">
              <w:rPr>
                <w:rFonts w:ascii="Cambria" w:eastAsia="Times New Roman" w:hAnsi="Cambria" w:cs="Times New Roman"/>
                <w:b/>
              </w:rPr>
              <w:t>SGROW</w:t>
            </w: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ROA</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CCC</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0,0013</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DOI</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0,0042</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0,7813</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DOR</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-0,0071</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0,4958</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0,093</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DOP</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-0,0046</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-0,1519</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0,1374</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0,387</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lastRenderedPageBreak/>
              <w:t>LEV</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-0,8224</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-0,0113</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-0,0092</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-0,0103</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-0,0045</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SIZE</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0,053</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-0,0218</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0,1192</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-0,2521</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-0,0776</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-0,0434</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p>
        </w:tc>
      </w:tr>
      <w:tr w:rsidR="00814F54" w:rsidRPr="008870AE" w:rsidTr="00814F54">
        <w:trPr>
          <w:jc w:val="center"/>
        </w:trPr>
        <w:tc>
          <w:tcPr>
            <w:tcW w:w="111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rPr>
                <w:rFonts w:ascii="Cambria" w:eastAsia="Times New Roman" w:hAnsi="Cambria" w:cs="Times New Roman"/>
                <w:b/>
              </w:rPr>
            </w:pPr>
            <w:r w:rsidRPr="008870AE">
              <w:rPr>
                <w:rFonts w:ascii="Cambria" w:eastAsia="Times New Roman" w:hAnsi="Cambria" w:cs="Times New Roman"/>
                <w:b/>
              </w:rPr>
              <w:t>SGROW</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-0,0003</w:t>
            </w:r>
          </w:p>
        </w:tc>
        <w:tc>
          <w:tcPr>
            <w:tcW w:w="90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-0,0017</w:t>
            </w:r>
          </w:p>
        </w:tc>
        <w:tc>
          <w:tcPr>
            <w:tcW w:w="99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-0,0005</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-0,0072</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-0,0061</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-0,0005</w:t>
            </w:r>
          </w:p>
        </w:tc>
        <w:tc>
          <w:tcPr>
            <w:tcW w:w="1005"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-0,0106</w:t>
            </w:r>
          </w:p>
        </w:tc>
        <w:tc>
          <w:tcPr>
            <w:tcW w:w="1080" w:type="dxa"/>
            <w:shd w:val="clear" w:color="auto" w:fill="auto"/>
            <w:tcMar>
              <w:top w:w="100" w:type="dxa"/>
              <w:left w:w="100" w:type="dxa"/>
              <w:bottom w:w="100" w:type="dxa"/>
              <w:right w:w="100" w:type="dxa"/>
            </w:tcMar>
          </w:tcPr>
          <w:p w:rsidR="00814F54" w:rsidRPr="008870AE" w:rsidRDefault="00814F54" w:rsidP="00814F54">
            <w:pPr>
              <w:widowControl w:val="0"/>
              <w:pBdr>
                <w:top w:val="nil"/>
                <w:left w:val="nil"/>
                <w:bottom w:val="nil"/>
                <w:right w:val="nil"/>
                <w:between w:val="nil"/>
              </w:pBdr>
              <w:spacing w:after="0" w:line="240" w:lineRule="auto"/>
              <w:jc w:val="center"/>
              <w:rPr>
                <w:rFonts w:ascii="Cambria" w:eastAsia="Times New Roman" w:hAnsi="Cambria" w:cs="Times New Roman"/>
              </w:rPr>
            </w:pPr>
            <w:r w:rsidRPr="008870AE">
              <w:rPr>
                <w:rFonts w:ascii="Cambria" w:eastAsia="Times New Roman" w:hAnsi="Cambria" w:cs="Times New Roman"/>
              </w:rPr>
              <w:t>1,00</w:t>
            </w:r>
          </w:p>
        </w:tc>
      </w:tr>
    </w:tbl>
    <w:p w:rsidR="00814F54" w:rsidRPr="008870AE" w:rsidRDefault="00814F54" w:rsidP="00814F54">
      <w:pPr>
        <w:spacing w:after="0" w:line="240" w:lineRule="auto"/>
        <w:ind w:left="142"/>
        <w:jc w:val="both"/>
        <w:rPr>
          <w:rFonts w:ascii="Cambria" w:eastAsia="Times New Roman" w:hAnsi="Cambria" w:cs="Times New Roman"/>
          <w:sz w:val="20"/>
          <w:szCs w:val="20"/>
        </w:rPr>
      </w:pPr>
      <w:r w:rsidRPr="008870AE">
        <w:rPr>
          <w:rFonts w:ascii="Cambria" w:eastAsia="Times New Roman" w:hAnsi="Cambria" w:cs="Times New Roman"/>
          <w:sz w:val="20"/>
          <w:szCs w:val="20"/>
        </w:rPr>
        <w:t xml:space="preserve">CCC adalah </w:t>
      </w:r>
      <w:r w:rsidRPr="008870AE">
        <w:rPr>
          <w:rFonts w:ascii="Cambria" w:eastAsia="Times New Roman" w:hAnsi="Cambria" w:cs="Times New Roman"/>
          <w:i/>
          <w:sz w:val="20"/>
          <w:szCs w:val="20"/>
        </w:rPr>
        <w:t xml:space="preserve">Cash Conversion Cycle; </w:t>
      </w:r>
      <w:r w:rsidRPr="008870AE">
        <w:rPr>
          <w:rFonts w:ascii="Cambria" w:eastAsia="Times New Roman" w:hAnsi="Cambria" w:cs="Times New Roman"/>
          <w:sz w:val="20"/>
          <w:szCs w:val="20"/>
        </w:rPr>
        <w:t xml:space="preserve">DOI adalah </w:t>
      </w:r>
      <w:r w:rsidRPr="008870AE">
        <w:rPr>
          <w:rFonts w:ascii="Cambria" w:eastAsia="Times New Roman" w:hAnsi="Cambria" w:cs="Times New Roman"/>
          <w:i/>
          <w:sz w:val="20"/>
          <w:szCs w:val="20"/>
        </w:rPr>
        <w:t>Days of Inventory</w:t>
      </w:r>
      <w:r w:rsidRPr="008870AE">
        <w:rPr>
          <w:rFonts w:ascii="Cambria" w:eastAsia="Times New Roman" w:hAnsi="Cambria" w:cs="Times New Roman"/>
          <w:sz w:val="20"/>
          <w:szCs w:val="20"/>
        </w:rPr>
        <w:t xml:space="preserve">; DOR adalah </w:t>
      </w:r>
      <w:r w:rsidRPr="008870AE">
        <w:rPr>
          <w:rFonts w:ascii="Cambria" w:eastAsia="Times New Roman" w:hAnsi="Cambria" w:cs="Times New Roman"/>
          <w:i/>
          <w:sz w:val="20"/>
          <w:szCs w:val="20"/>
        </w:rPr>
        <w:t>Days of Receivable</w:t>
      </w:r>
      <w:r w:rsidRPr="008870AE">
        <w:rPr>
          <w:rFonts w:ascii="Cambria" w:eastAsia="Times New Roman" w:hAnsi="Cambria" w:cs="Times New Roman"/>
          <w:sz w:val="20"/>
          <w:szCs w:val="20"/>
        </w:rPr>
        <w:t xml:space="preserve">; DOP adalah </w:t>
      </w:r>
      <w:r w:rsidRPr="008870AE">
        <w:rPr>
          <w:rFonts w:ascii="Cambria" w:eastAsia="Times New Roman" w:hAnsi="Cambria" w:cs="Times New Roman"/>
          <w:i/>
          <w:sz w:val="20"/>
          <w:szCs w:val="20"/>
        </w:rPr>
        <w:t>Days of Payable</w:t>
      </w:r>
      <w:r w:rsidRPr="008870AE">
        <w:rPr>
          <w:rFonts w:ascii="Cambria" w:eastAsia="Times New Roman" w:hAnsi="Cambria" w:cs="Times New Roman"/>
          <w:sz w:val="20"/>
          <w:szCs w:val="20"/>
        </w:rPr>
        <w:t xml:space="preserve">; DOR adalah </w:t>
      </w:r>
      <w:r w:rsidRPr="008870AE">
        <w:rPr>
          <w:rFonts w:ascii="Cambria" w:eastAsia="Times New Roman" w:hAnsi="Cambria" w:cs="Times New Roman"/>
          <w:i/>
          <w:sz w:val="20"/>
          <w:szCs w:val="20"/>
        </w:rPr>
        <w:t>Days of Payable</w:t>
      </w:r>
      <w:r w:rsidRPr="008870AE">
        <w:rPr>
          <w:rFonts w:ascii="Cambria" w:eastAsia="Times New Roman" w:hAnsi="Cambria" w:cs="Times New Roman"/>
          <w:sz w:val="20"/>
          <w:szCs w:val="20"/>
        </w:rPr>
        <w:t xml:space="preserve">; ROA adalah </w:t>
      </w:r>
      <w:r w:rsidRPr="008870AE">
        <w:rPr>
          <w:rFonts w:ascii="Cambria" w:eastAsia="Times New Roman" w:hAnsi="Cambria" w:cs="Times New Roman"/>
          <w:i/>
          <w:sz w:val="20"/>
          <w:szCs w:val="20"/>
        </w:rPr>
        <w:t>Return on Assets</w:t>
      </w:r>
      <w:r w:rsidRPr="008870AE">
        <w:rPr>
          <w:rFonts w:ascii="Cambria" w:eastAsia="Times New Roman" w:hAnsi="Cambria" w:cs="Times New Roman"/>
          <w:sz w:val="20"/>
          <w:szCs w:val="20"/>
        </w:rPr>
        <w:t>; LEV adalah rasio utang; SIZE adalah ukuran perusahaan; SGROW adalah pertumbuhan penjualan.</w:t>
      </w:r>
    </w:p>
    <w:p w:rsidR="00814F54" w:rsidRPr="008870AE" w:rsidRDefault="00814F54" w:rsidP="00814F54">
      <w:pPr>
        <w:spacing w:after="0" w:line="240" w:lineRule="auto"/>
        <w:rPr>
          <w:rFonts w:ascii="Cambria" w:eastAsia="Times New Roman" w:hAnsi="Cambria" w:cs="Times New Roman"/>
          <w:b/>
        </w:rPr>
      </w:pPr>
    </w:p>
    <w:p w:rsidR="00814F54" w:rsidRPr="008870AE" w:rsidRDefault="00814F54" w:rsidP="00814F54">
      <w:pPr>
        <w:pBdr>
          <w:top w:val="nil"/>
          <w:left w:val="nil"/>
          <w:bottom w:val="nil"/>
          <w:right w:val="nil"/>
          <w:between w:val="nil"/>
        </w:pBdr>
        <w:spacing w:line="240" w:lineRule="auto"/>
        <w:ind w:firstLine="426"/>
        <w:jc w:val="both"/>
        <w:rPr>
          <w:rFonts w:ascii="Cambria" w:eastAsia="Times New Roman" w:hAnsi="Cambria" w:cs="Times New Roman"/>
        </w:rPr>
      </w:pPr>
      <w:r w:rsidRPr="008870AE">
        <w:rPr>
          <w:rFonts w:ascii="Cambria" w:eastAsia="Times New Roman" w:hAnsi="Cambria" w:cs="Times New Roman"/>
        </w:rPr>
        <w:t>Tabel 3 menunjukkan hubungan antar variabel yang digunakan dalam penelitian. Korelasi antar variabel dikategorikan sebagai tinggi jika nilainya mendekati angka 1 (Sugiyono, 2006). Dari Tabel 3 dapat dilihat bahwa CCC dan DOI memiliki hubungan yang positif terhadap ROA. Maka dapat dijelaskan bahwa perpanjangan periode CCC dan DOI dapat meningkatkan profitabilitas perusahaan. Namun, komponen lain dari CCC yakni DOR dan DOP memiliki hubungan yang negatif terhadap ROA. Untuk dapat meningkatkan profitabilitasnya perusahaan perlu untuk mempercepat periode pembayaran piutang serta utang.</w:t>
      </w:r>
    </w:p>
    <w:p w:rsidR="00814F54" w:rsidRPr="008870AE" w:rsidRDefault="00814F54" w:rsidP="00814F54">
      <w:pPr>
        <w:pBdr>
          <w:top w:val="nil"/>
          <w:left w:val="nil"/>
          <w:bottom w:val="nil"/>
          <w:right w:val="nil"/>
          <w:between w:val="nil"/>
        </w:pBdr>
        <w:spacing w:after="0" w:line="240" w:lineRule="auto"/>
        <w:ind w:firstLine="426"/>
        <w:jc w:val="both"/>
        <w:rPr>
          <w:rFonts w:ascii="Cambria" w:eastAsia="Times New Roman" w:hAnsi="Cambria" w:cs="Times New Roman"/>
        </w:rPr>
      </w:pPr>
      <w:r w:rsidRPr="008870AE">
        <w:rPr>
          <w:rFonts w:ascii="Cambria" w:eastAsia="Times New Roman" w:hAnsi="Cambria" w:cs="Times New Roman"/>
        </w:rPr>
        <w:t xml:space="preserve">Dari Tabel 2, dilihat dari nilai </w:t>
      </w:r>
      <w:r w:rsidRPr="008870AE">
        <w:rPr>
          <w:rFonts w:ascii="Cambria" w:eastAsia="Times New Roman" w:hAnsi="Cambria" w:cs="Times New Roman"/>
          <w:i/>
        </w:rPr>
        <w:t xml:space="preserve">skewness-kurtosis </w:t>
      </w:r>
      <w:r w:rsidRPr="008870AE">
        <w:rPr>
          <w:rFonts w:ascii="Cambria" w:eastAsia="Times New Roman" w:hAnsi="Cambria" w:cs="Times New Roman"/>
        </w:rPr>
        <w:t xml:space="preserve">data yang dimiliki dapat dijelaskan jika data yang digunakan tidak memiliki persebaran yang normal. Untuk mengatasi permasalahan normalitas tersebut, data di </w:t>
      </w:r>
      <w:r w:rsidRPr="008870AE">
        <w:rPr>
          <w:rFonts w:ascii="Cambria" w:eastAsia="Times New Roman" w:hAnsi="Cambria" w:cs="Times New Roman"/>
          <w:i/>
        </w:rPr>
        <w:t xml:space="preserve">treatment </w:t>
      </w:r>
      <w:r w:rsidRPr="008870AE">
        <w:rPr>
          <w:rFonts w:ascii="Cambria" w:eastAsia="Times New Roman" w:hAnsi="Cambria" w:cs="Times New Roman"/>
        </w:rPr>
        <w:t xml:space="preserve">dengan menggunakan metode Winsorize. Data dan model yang digunakan tidak memiliki masalah multikolinearitas ketika diuji dengan menggunakan metode </w:t>
      </w:r>
      <w:r w:rsidRPr="008870AE">
        <w:rPr>
          <w:rFonts w:ascii="Cambria" w:eastAsia="Times New Roman" w:hAnsi="Cambria" w:cs="Times New Roman"/>
          <w:i/>
        </w:rPr>
        <w:t xml:space="preserve">variance inflation factor </w:t>
      </w:r>
      <w:r w:rsidRPr="008870AE">
        <w:rPr>
          <w:rFonts w:ascii="Cambria" w:eastAsia="Times New Roman" w:hAnsi="Cambria" w:cs="Times New Roman"/>
        </w:rPr>
        <w:t>(VIF). Tetapi data menunjukkan gejala heteroskedastisitas dan autokorelasi. Untuk mengatasi gejala tersebut, data selanjutnya diolah dengan menggunakan metode Driscoll-Kray (Hoachle, 2007).</w:t>
      </w:r>
    </w:p>
    <w:p w:rsidR="007210B2" w:rsidRPr="008870AE" w:rsidRDefault="007210B2" w:rsidP="007210B2">
      <w:pPr>
        <w:pBdr>
          <w:top w:val="nil"/>
          <w:left w:val="nil"/>
          <w:bottom w:val="nil"/>
          <w:right w:val="nil"/>
          <w:between w:val="nil"/>
        </w:pBdr>
        <w:spacing w:after="0" w:line="240" w:lineRule="auto"/>
        <w:jc w:val="both"/>
        <w:rPr>
          <w:rFonts w:ascii="Cambria" w:eastAsia="Times New Roman" w:hAnsi="Cambria" w:cs="Times New Roman"/>
        </w:rPr>
      </w:pPr>
    </w:p>
    <w:p w:rsidR="007210B2" w:rsidRPr="008870AE" w:rsidRDefault="007210B2" w:rsidP="007210B2">
      <w:pPr>
        <w:pStyle w:val="ListParagraph"/>
        <w:numPr>
          <w:ilvl w:val="0"/>
          <w:numId w:val="4"/>
        </w:numPr>
        <w:pBdr>
          <w:top w:val="nil"/>
          <w:left w:val="nil"/>
          <w:bottom w:val="nil"/>
          <w:right w:val="nil"/>
          <w:between w:val="nil"/>
        </w:pBdr>
        <w:spacing w:after="0" w:line="240" w:lineRule="auto"/>
        <w:ind w:left="426" w:hanging="426"/>
        <w:jc w:val="both"/>
        <w:rPr>
          <w:rFonts w:ascii="Cambria" w:eastAsia="Times New Roman" w:hAnsi="Cambria" w:cs="Times New Roman"/>
          <w:i/>
        </w:rPr>
      </w:pPr>
      <w:r w:rsidRPr="008870AE">
        <w:rPr>
          <w:rFonts w:ascii="Cambria" w:eastAsia="Times New Roman" w:hAnsi="Cambria" w:cs="Times New Roman"/>
          <w:i/>
        </w:rPr>
        <w:t>Model Penelitian</w:t>
      </w:r>
    </w:p>
    <w:p w:rsidR="007210B2" w:rsidRPr="008870AE" w:rsidRDefault="007210B2" w:rsidP="007210B2">
      <w:pPr>
        <w:pBdr>
          <w:top w:val="nil"/>
          <w:left w:val="nil"/>
          <w:bottom w:val="nil"/>
          <w:right w:val="nil"/>
          <w:between w:val="nil"/>
        </w:pBdr>
        <w:spacing w:after="0" w:line="240" w:lineRule="auto"/>
        <w:ind w:firstLine="426"/>
        <w:jc w:val="both"/>
        <w:rPr>
          <w:rFonts w:ascii="Cambria" w:eastAsia="Times New Roman" w:hAnsi="Cambria" w:cs="Times New Roman"/>
        </w:rPr>
      </w:pPr>
      <w:r w:rsidRPr="008870AE">
        <w:rPr>
          <w:rFonts w:ascii="Cambria" w:eastAsia="Times New Roman" w:hAnsi="Cambria" w:cs="Times New Roman"/>
        </w:rPr>
        <w:t>Dalam melakukan uji hipothesis digunakan dua model berikut:</w:t>
      </w:r>
    </w:p>
    <w:p w:rsidR="007210B2" w:rsidRPr="008870AE" w:rsidRDefault="007210B2" w:rsidP="007210B2">
      <w:pPr>
        <w:pBdr>
          <w:top w:val="nil"/>
          <w:left w:val="nil"/>
          <w:bottom w:val="nil"/>
          <w:right w:val="nil"/>
          <w:between w:val="nil"/>
        </w:pBdr>
        <w:spacing w:after="0" w:line="240" w:lineRule="auto"/>
        <w:ind w:firstLine="426"/>
        <w:jc w:val="both"/>
        <w:rPr>
          <w:rFonts w:ascii="Cambria" w:eastAsia="Times New Roman" w:hAnsi="Cambria" w:cs="Times New Roman"/>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7210B2" w:rsidRPr="008870AE" w:rsidTr="007210B2">
        <w:tc>
          <w:tcPr>
            <w:tcW w:w="8505" w:type="dxa"/>
          </w:tcPr>
          <w:p w:rsidR="007210B2" w:rsidRPr="008870AE" w:rsidRDefault="007210B2" w:rsidP="007210B2">
            <w:pPr>
              <w:jc w:val="both"/>
              <w:rPr>
                <w:rFonts w:ascii="Cambria" w:eastAsia="Times New Roman" w:hAnsi="Cambria" w:cs="Times New Roman"/>
                <w:b/>
              </w:rPr>
            </w:pPr>
            <w:r w:rsidRPr="008870AE">
              <w:rPr>
                <w:rFonts w:ascii="Cambria" w:eastAsia="Times New Roman" w:hAnsi="Cambria" w:cs="Times New Roman"/>
                <w:b/>
              </w:rPr>
              <w:t xml:space="preserve">Model 1: </w:t>
            </w:r>
          </w:p>
          <w:p w:rsidR="007210B2" w:rsidRPr="008870AE" w:rsidRDefault="007210B2" w:rsidP="007210B2">
            <w:pPr>
              <w:jc w:val="both"/>
              <w:rPr>
                <w:rFonts w:ascii="Cambria" w:eastAsia="Times New Roman" w:hAnsi="Cambria" w:cs="Times New Roman"/>
                <w:vertAlign w:val="subscript"/>
              </w:rPr>
            </w:pPr>
            <w:r w:rsidRPr="008870AE">
              <w:rPr>
                <w:rFonts w:ascii="Cambria" w:eastAsia="Times New Roman" w:hAnsi="Cambria" w:cs="Times New Roman"/>
              </w:rPr>
              <w:t>ROA</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α + β</w:t>
            </w:r>
            <w:r w:rsidRPr="008870AE">
              <w:rPr>
                <w:rFonts w:ascii="Cambria" w:eastAsia="Times New Roman" w:hAnsi="Cambria" w:cs="Times New Roman"/>
                <w:vertAlign w:val="subscript"/>
              </w:rPr>
              <w:t>1</w:t>
            </w:r>
            <w:r w:rsidRPr="008870AE">
              <w:rPr>
                <w:rFonts w:ascii="Cambria" w:eastAsia="Times New Roman" w:hAnsi="Cambria" w:cs="Times New Roman"/>
              </w:rPr>
              <w:t>CCC</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2</w:t>
            </w:r>
            <w:r w:rsidRPr="008870AE">
              <w:rPr>
                <w:rFonts w:ascii="Cambria" w:eastAsia="Times New Roman" w:hAnsi="Cambria" w:cs="Times New Roman"/>
              </w:rPr>
              <w:t>RESESI</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β</w:t>
            </w:r>
            <w:r w:rsidRPr="008870AE">
              <w:rPr>
                <w:rFonts w:ascii="Cambria" w:eastAsia="Times New Roman" w:hAnsi="Cambria" w:cs="Times New Roman"/>
                <w:vertAlign w:val="subscript"/>
              </w:rPr>
              <w:t>3</w:t>
            </w:r>
            <w:r w:rsidRPr="008870AE">
              <w:rPr>
                <w:rFonts w:ascii="Cambria" w:eastAsia="Times New Roman" w:hAnsi="Cambria" w:cs="Times New Roman"/>
              </w:rPr>
              <w:t>CCC.RESESI</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β</w:t>
            </w:r>
            <w:r w:rsidRPr="008870AE">
              <w:rPr>
                <w:rFonts w:ascii="Cambria" w:eastAsia="Times New Roman" w:hAnsi="Cambria" w:cs="Times New Roman"/>
                <w:vertAlign w:val="subscript"/>
              </w:rPr>
              <w:t>4</w:t>
            </w:r>
            <w:r w:rsidRPr="008870AE">
              <w:rPr>
                <w:rFonts w:ascii="Cambria" w:eastAsia="Times New Roman" w:hAnsi="Cambria" w:cs="Times New Roman"/>
              </w:rPr>
              <w:t>LEV</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β</w:t>
            </w:r>
            <w:r w:rsidRPr="008870AE">
              <w:rPr>
                <w:rFonts w:ascii="Cambria" w:eastAsia="Times New Roman" w:hAnsi="Cambria" w:cs="Times New Roman"/>
                <w:vertAlign w:val="subscript"/>
              </w:rPr>
              <w:t>5</w:t>
            </w:r>
            <w:r w:rsidRPr="008870AE">
              <w:rPr>
                <w:rFonts w:ascii="Cambria" w:eastAsia="Times New Roman" w:hAnsi="Cambria" w:cs="Times New Roman"/>
              </w:rPr>
              <w:t>SIZE</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β</w:t>
            </w:r>
            <w:r w:rsidRPr="008870AE">
              <w:rPr>
                <w:rFonts w:ascii="Cambria" w:eastAsia="Times New Roman" w:hAnsi="Cambria" w:cs="Times New Roman"/>
                <w:vertAlign w:val="subscript"/>
              </w:rPr>
              <w:t>6</w:t>
            </w:r>
            <w:r w:rsidRPr="008870AE">
              <w:rPr>
                <w:rFonts w:ascii="Cambria" w:eastAsia="Times New Roman" w:hAnsi="Cambria" w:cs="Times New Roman"/>
              </w:rPr>
              <w:t>SGROW</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w:t>
            </w:r>
            <w:r w:rsidRPr="008870AE">
              <w:rPr>
                <w:rFonts w:ascii="Cambria" w:eastAsia="Times New Roman" w:hAnsi="Cambria" w:cs="Times New Roman"/>
                <w:i/>
              </w:rPr>
              <w:t>e</w:t>
            </w:r>
            <w:r w:rsidRPr="008870AE">
              <w:rPr>
                <w:rFonts w:ascii="Cambria" w:eastAsia="Times New Roman" w:hAnsi="Cambria" w:cs="Times New Roman"/>
                <w:vertAlign w:val="subscript"/>
              </w:rPr>
              <w:t>it</w:t>
            </w:r>
          </w:p>
          <w:p w:rsidR="007210B2" w:rsidRPr="008870AE" w:rsidRDefault="007210B2" w:rsidP="007210B2">
            <w:pPr>
              <w:jc w:val="both"/>
              <w:rPr>
                <w:rFonts w:ascii="Cambria" w:eastAsia="Times New Roman" w:hAnsi="Cambria" w:cs="Times New Roman"/>
                <w:vertAlign w:val="subscript"/>
              </w:rPr>
            </w:pPr>
          </w:p>
        </w:tc>
        <w:tc>
          <w:tcPr>
            <w:tcW w:w="709" w:type="dxa"/>
          </w:tcPr>
          <w:p w:rsidR="007210B2" w:rsidRPr="008870AE" w:rsidRDefault="007210B2" w:rsidP="007210B2">
            <w:pPr>
              <w:spacing w:before="240"/>
              <w:jc w:val="right"/>
              <w:rPr>
                <w:rFonts w:ascii="Cambria" w:eastAsia="Times New Roman" w:hAnsi="Cambria" w:cs="Times New Roman"/>
              </w:rPr>
            </w:pPr>
            <w:r w:rsidRPr="008870AE">
              <w:rPr>
                <w:rFonts w:ascii="Cambria" w:eastAsia="Times New Roman" w:hAnsi="Cambria" w:cs="Times New Roman"/>
              </w:rPr>
              <w:t>(1)</w:t>
            </w:r>
          </w:p>
        </w:tc>
      </w:tr>
      <w:tr w:rsidR="007210B2" w:rsidRPr="008870AE" w:rsidTr="007210B2">
        <w:tc>
          <w:tcPr>
            <w:tcW w:w="8505" w:type="dxa"/>
          </w:tcPr>
          <w:p w:rsidR="007210B2" w:rsidRPr="008870AE" w:rsidRDefault="007210B2" w:rsidP="007210B2">
            <w:pPr>
              <w:tabs>
                <w:tab w:val="left" w:pos="4035"/>
              </w:tabs>
              <w:jc w:val="both"/>
              <w:rPr>
                <w:rFonts w:ascii="Cambria" w:eastAsia="Times New Roman" w:hAnsi="Cambria" w:cs="Times New Roman"/>
                <w:b/>
              </w:rPr>
            </w:pPr>
            <w:r w:rsidRPr="008870AE">
              <w:rPr>
                <w:rFonts w:ascii="Cambria" w:eastAsia="Times New Roman" w:hAnsi="Cambria" w:cs="Times New Roman"/>
                <w:b/>
              </w:rPr>
              <w:t xml:space="preserve">Model 2: </w:t>
            </w:r>
            <w:r w:rsidRPr="008870AE">
              <w:rPr>
                <w:rFonts w:ascii="Cambria" w:eastAsia="Times New Roman" w:hAnsi="Cambria" w:cs="Times New Roman"/>
                <w:b/>
              </w:rPr>
              <w:tab/>
            </w:r>
          </w:p>
          <w:p w:rsidR="007210B2" w:rsidRPr="008870AE" w:rsidRDefault="007210B2" w:rsidP="007210B2">
            <w:pPr>
              <w:jc w:val="both"/>
              <w:rPr>
                <w:rFonts w:ascii="Cambria" w:eastAsia="Times New Roman" w:hAnsi="Cambria" w:cs="Times New Roman"/>
                <w:b/>
              </w:rPr>
            </w:pPr>
            <w:r w:rsidRPr="008870AE">
              <w:rPr>
                <w:rFonts w:ascii="Cambria" w:eastAsia="Times New Roman" w:hAnsi="Cambria" w:cs="Times New Roman"/>
              </w:rPr>
              <w:t>ROA</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α + β</w:t>
            </w:r>
            <w:r w:rsidRPr="008870AE">
              <w:rPr>
                <w:rFonts w:ascii="Cambria" w:eastAsia="Times New Roman" w:hAnsi="Cambria" w:cs="Times New Roman"/>
                <w:vertAlign w:val="subscript"/>
              </w:rPr>
              <w:t>1</w:t>
            </w:r>
            <w:r w:rsidRPr="008870AE">
              <w:rPr>
                <w:rFonts w:ascii="Cambria" w:eastAsia="Times New Roman" w:hAnsi="Cambria" w:cs="Times New Roman"/>
              </w:rPr>
              <w:t>DOI</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2</w:t>
            </w:r>
            <w:r w:rsidRPr="008870AE">
              <w:rPr>
                <w:rFonts w:ascii="Cambria" w:eastAsia="Times New Roman" w:hAnsi="Cambria" w:cs="Times New Roman"/>
              </w:rPr>
              <w:t>DOR</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3</w:t>
            </w:r>
            <w:r w:rsidRPr="008870AE">
              <w:rPr>
                <w:rFonts w:ascii="Cambria" w:eastAsia="Times New Roman" w:hAnsi="Cambria" w:cs="Times New Roman"/>
              </w:rPr>
              <w:t>DOP</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4</w:t>
            </w:r>
            <w:r w:rsidRPr="008870AE">
              <w:rPr>
                <w:rFonts w:ascii="Cambria" w:eastAsia="Times New Roman" w:hAnsi="Cambria" w:cs="Times New Roman"/>
              </w:rPr>
              <w:t>RESESI</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5</w:t>
            </w:r>
            <w:r w:rsidRPr="008870AE">
              <w:rPr>
                <w:rFonts w:ascii="Cambria" w:eastAsia="Times New Roman" w:hAnsi="Cambria" w:cs="Times New Roman"/>
              </w:rPr>
              <w:t>DOI.RESESI</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6</w:t>
            </w:r>
            <w:r w:rsidRPr="008870AE">
              <w:rPr>
                <w:rFonts w:ascii="Cambria" w:eastAsia="Times New Roman" w:hAnsi="Cambria" w:cs="Times New Roman"/>
              </w:rPr>
              <w:t>DOR.RESESI</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7</w:t>
            </w:r>
            <w:r w:rsidRPr="008870AE">
              <w:rPr>
                <w:rFonts w:ascii="Cambria" w:eastAsia="Times New Roman" w:hAnsi="Cambria" w:cs="Times New Roman"/>
              </w:rPr>
              <w:t>DOP.RESESI</w:t>
            </w:r>
            <w:r w:rsidRPr="008870AE">
              <w:rPr>
                <w:rFonts w:ascii="Cambria" w:eastAsia="Times New Roman" w:hAnsi="Cambria" w:cs="Times New Roman"/>
                <w:vertAlign w:val="subscript"/>
              </w:rPr>
              <w:t xml:space="preserve">it </w:t>
            </w:r>
            <w:r w:rsidRPr="008870AE">
              <w:rPr>
                <w:rFonts w:ascii="Cambria" w:eastAsia="Times New Roman" w:hAnsi="Cambria" w:cs="Times New Roman"/>
              </w:rPr>
              <w:t>+ β</w:t>
            </w:r>
            <w:r w:rsidRPr="008870AE">
              <w:rPr>
                <w:rFonts w:ascii="Cambria" w:eastAsia="Times New Roman" w:hAnsi="Cambria" w:cs="Times New Roman"/>
                <w:vertAlign w:val="subscript"/>
              </w:rPr>
              <w:t>8</w:t>
            </w:r>
            <w:r w:rsidRPr="008870AE">
              <w:rPr>
                <w:rFonts w:ascii="Cambria" w:eastAsia="Times New Roman" w:hAnsi="Cambria" w:cs="Times New Roman"/>
              </w:rPr>
              <w:t>LEV</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β</w:t>
            </w:r>
            <w:r w:rsidRPr="008870AE">
              <w:rPr>
                <w:rFonts w:ascii="Cambria" w:eastAsia="Times New Roman" w:hAnsi="Cambria" w:cs="Times New Roman"/>
                <w:vertAlign w:val="subscript"/>
              </w:rPr>
              <w:t>9</w:t>
            </w:r>
            <w:r w:rsidRPr="008870AE">
              <w:rPr>
                <w:rFonts w:ascii="Cambria" w:eastAsia="Times New Roman" w:hAnsi="Cambria" w:cs="Times New Roman"/>
              </w:rPr>
              <w:t>SIZE</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β</w:t>
            </w:r>
            <w:r w:rsidRPr="008870AE">
              <w:rPr>
                <w:rFonts w:ascii="Cambria" w:eastAsia="Times New Roman" w:hAnsi="Cambria" w:cs="Times New Roman"/>
                <w:vertAlign w:val="subscript"/>
              </w:rPr>
              <w:t>10</w:t>
            </w:r>
            <w:r w:rsidRPr="008870AE">
              <w:rPr>
                <w:rFonts w:ascii="Cambria" w:eastAsia="Times New Roman" w:hAnsi="Cambria" w:cs="Times New Roman"/>
              </w:rPr>
              <w:t>SGROW</w:t>
            </w:r>
            <w:r w:rsidRPr="008870AE">
              <w:rPr>
                <w:rFonts w:ascii="Cambria" w:eastAsia="Times New Roman" w:hAnsi="Cambria" w:cs="Times New Roman"/>
                <w:vertAlign w:val="subscript"/>
              </w:rPr>
              <w:t>it</w:t>
            </w:r>
            <w:r w:rsidRPr="008870AE">
              <w:rPr>
                <w:rFonts w:ascii="Cambria" w:eastAsia="Times New Roman" w:hAnsi="Cambria" w:cs="Times New Roman"/>
              </w:rPr>
              <w:t xml:space="preserve"> + </w:t>
            </w:r>
            <w:r w:rsidRPr="008870AE">
              <w:rPr>
                <w:rFonts w:ascii="Cambria" w:eastAsia="Times New Roman" w:hAnsi="Cambria" w:cs="Times New Roman"/>
                <w:i/>
              </w:rPr>
              <w:t>e</w:t>
            </w:r>
            <w:r w:rsidRPr="008870AE">
              <w:rPr>
                <w:rFonts w:ascii="Cambria" w:eastAsia="Times New Roman" w:hAnsi="Cambria" w:cs="Times New Roman"/>
                <w:vertAlign w:val="subscript"/>
              </w:rPr>
              <w:t>it</w:t>
            </w:r>
          </w:p>
        </w:tc>
        <w:tc>
          <w:tcPr>
            <w:tcW w:w="709" w:type="dxa"/>
          </w:tcPr>
          <w:p w:rsidR="007210B2" w:rsidRPr="008870AE" w:rsidRDefault="007210B2" w:rsidP="007210B2">
            <w:pPr>
              <w:spacing w:before="240"/>
              <w:jc w:val="right"/>
              <w:rPr>
                <w:rFonts w:ascii="Cambria" w:eastAsia="Times New Roman" w:hAnsi="Cambria" w:cs="Times New Roman"/>
              </w:rPr>
            </w:pPr>
            <w:r w:rsidRPr="008870AE">
              <w:rPr>
                <w:rFonts w:ascii="Cambria" w:eastAsia="Times New Roman" w:hAnsi="Cambria" w:cs="Times New Roman"/>
              </w:rPr>
              <w:t>(2)</w:t>
            </w:r>
          </w:p>
        </w:tc>
      </w:tr>
    </w:tbl>
    <w:p w:rsidR="009537E5" w:rsidRPr="008870AE" w:rsidRDefault="009537E5" w:rsidP="007210B2">
      <w:pPr>
        <w:spacing w:line="240" w:lineRule="auto"/>
        <w:rPr>
          <w:rFonts w:ascii="Cambria" w:eastAsia="Times New Roman" w:hAnsi="Cambria" w:cs="Times New Roman"/>
        </w:rPr>
      </w:pPr>
    </w:p>
    <w:p w:rsidR="007210B2" w:rsidRPr="008870AE" w:rsidRDefault="007210B2" w:rsidP="007210B2">
      <w:pPr>
        <w:spacing w:line="240" w:lineRule="auto"/>
        <w:rPr>
          <w:rFonts w:ascii="Cambria" w:eastAsia="Times New Roman" w:hAnsi="Cambria" w:cs="Times New Roman"/>
        </w:rPr>
      </w:pPr>
    </w:p>
    <w:p w:rsidR="007210B2" w:rsidRPr="008870AE" w:rsidRDefault="007210B2" w:rsidP="007210B2">
      <w:pPr>
        <w:spacing w:line="240" w:lineRule="auto"/>
        <w:rPr>
          <w:rFonts w:ascii="Cambria" w:eastAsia="Times New Roman" w:hAnsi="Cambria" w:cs="Times New Roman"/>
        </w:rPr>
      </w:pPr>
    </w:p>
    <w:p w:rsidR="007210B2" w:rsidRPr="008870AE" w:rsidRDefault="007210B2" w:rsidP="007210B2">
      <w:pPr>
        <w:spacing w:line="240" w:lineRule="auto"/>
        <w:rPr>
          <w:rFonts w:ascii="Cambria" w:eastAsia="Times New Roman" w:hAnsi="Cambria" w:cs="Times New Roman"/>
        </w:rPr>
      </w:pPr>
    </w:p>
    <w:p w:rsidR="002C505F" w:rsidRPr="008870AE" w:rsidRDefault="002C505F" w:rsidP="00111F5C">
      <w:pPr>
        <w:pStyle w:val="ListParagraph"/>
        <w:numPr>
          <w:ilvl w:val="0"/>
          <w:numId w:val="1"/>
        </w:numPr>
        <w:spacing w:line="240" w:lineRule="auto"/>
        <w:ind w:left="284" w:hanging="284"/>
        <w:rPr>
          <w:rFonts w:ascii="Cambria" w:hAnsi="Cambria" w:cs="Times New Roman"/>
          <w:b/>
        </w:rPr>
      </w:pPr>
      <w:r w:rsidRPr="008870AE">
        <w:rPr>
          <w:rFonts w:ascii="Cambria" w:hAnsi="Cambria" w:cs="Times New Roman"/>
          <w:b/>
        </w:rPr>
        <w:t>HASIL DAN PEMBAHASAN</w:t>
      </w:r>
    </w:p>
    <w:p w:rsidR="00111F5C" w:rsidRPr="008870AE" w:rsidRDefault="007210B2" w:rsidP="007210B2">
      <w:pPr>
        <w:pStyle w:val="ListParagraph"/>
        <w:numPr>
          <w:ilvl w:val="0"/>
          <w:numId w:val="5"/>
        </w:numPr>
        <w:spacing w:after="0" w:line="240" w:lineRule="auto"/>
        <w:ind w:left="426" w:hanging="426"/>
        <w:rPr>
          <w:rFonts w:ascii="Cambria" w:hAnsi="Cambria" w:cs="Times New Roman"/>
        </w:rPr>
      </w:pPr>
      <w:r w:rsidRPr="008870AE">
        <w:rPr>
          <w:rFonts w:ascii="Cambria" w:hAnsi="Cambria" w:cs="Times New Roman"/>
          <w:i/>
        </w:rPr>
        <w:t>Hasil Penelitian</w:t>
      </w:r>
    </w:p>
    <w:p w:rsidR="00111F5C" w:rsidRPr="008870AE" w:rsidRDefault="00111F5C" w:rsidP="00111F5C">
      <w:pPr>
        <w:spacing w:after="120" w:line="240" w:lineRule="auto"/>
        <w:jc w:val="center"/>
        <w:rPr>
          <w:rFonts w:ascii="Cambria" w:eastAsia="Times New Roman" w:hAnsi="Cambria" w:cs="Times New Roman"/>
        </w:rPr>
      </w:pPr>
      <w:r w:rsidRPr="008870AE">
        <w:rPr>
          <w:rFonts w:ascii="Cambria" w:eastAsia="Times New Roman" w:hAnsi="Cambria" w:cs="Times New Roman"/>
        </w:rPr>
        <w:t>Tabel 4. Hasil Regresi</w:t>
      </w:r>
    </w:p>
    <w:tbl>
      <w:tblPr>
        <w:tblW w:w="7518" w:type="dxa"/>
        <w:jc w:val="center"/>
        <w:tblBorders>
          <w:top w:val="nil"/>
          <w:left w:val="nil"/>
          <w:bottom w:val="nil"/>
          <w:right w:val="nil"/>
          <w:insideH w:val="nil"/>
          <w:insideV w:val="nil"/>
        </w:tblBorders>
        <w:tblLayout w:type="fixed"/>
        <w:tblLook w:val="0400" w:firstRow="0" w:lastRow="0" w:firstColumn="0" w:lastColumn="0" w:noHBand="0" w:noVBand="1"/>
      </w:tblPr>
      <w:tblGrid>
        <w:gridCol w:w="4068"/>
        <w:gridCol w:w="1725"/>
        <w:gridCol w:w="1725"/>
      </w:tblGrid>
      <w:tr w:rsidR="00111F5C" w:rsidRPr="008870AE" w:rsidTr="0073417F">
        <w:trPr>
          <w:trHeight w:val="260"/>
          <w:jc w:val="center"/>
        </w:trPr>
        <w:tc>
          <w:tcPr>
            <w:tcW w:w="4068" w:type="dxa"/>
            <w:tcBorders>
              <w:top w:val="single" w:sz="4" w:space="0" w:color="000000"/>
              <w:bottom w:val="single" w:sz="4" w:space="0" w:color="000000"/>
            </w:tcBorders>
          </w:tcPr>
          <w:p w:rsidR="00111F5C" w:rsidRPr="008870AE" w:rsidRDefault="00111F5C" w:rsidP="0073417F">
            <w:pPr>
              <w:spacing w:line="276" w:lineRule="auto"/>
              <w:jc w:val="both"/>
              <w:rPr>
                <w:rFonts w:ascii="Cambria" w:eastAsia="Times New Roman" w:hAnsi="Cambria" w:cs="Times New Roman"/>
                <w:b/>
              </w:rPr>
            </w:pPr>
            <w:r w:rsidRPr="008870AE">
              <w:rPr>
                <w:rFonts w:ascii="Cambria" w:eastAsia="Times New Roman" w:hAnsi="Cambria" w:cs="Times New Roman"/>
                <w:b/>
              </w:rPr>
              <w:t>Independent Variabel</w:t>
            </w:r>
          </w:p>
        </w:tc>
        <w:tc>
          <w:tcPr>
            <w:tcW w:w="1725" w:type="dxa"/>
            <w:tcBorders>
              <w:top w:val="single" w:sz="4" w:space="0" w:color="000000"/>
              <w:bottom w:val="single" w:sz="4" w:space="0" w:color="000000"/>
            </w:tcBorders>
          </w:tcPr>
          <w:p w:rsidR="00111F5C" w:rsidRPr="008870AE" w:rsidRDefault="00111F5C" w:rsidP="0073417F">
            <w:pPr>
              <w:spacing w:line="276" w:lineRule="auto"/>
              <w:jc w:val="center"/>
              <w:rPr>
                <w:rFonts w:ascii="Cambria" w:eastAsia="Times New Roman" w:hAnsi="Cambria" w:cs="Times New Roman"/>
                <w:b/>
              </w:rPr>
            </w:pPr>
            <w:r w:rsidRPr="008870AE">
              <w:rPr>
                <w:rFonts w:ascii="Cambria" w:eastAsia="Times New Roman" w:hAnsi="Cambria" w:cs="Times New Roman"/>
                <w:b/>
              </w:rPr>
              <w:t>(1)</w:t>
            </w:r>
          </w:p>
        </w:tc>
        <w:tc>
          <w:tcPr>
            <w:tcW w:w="1725" w:type="dxa"/>
            <w:tcBorders>
              <w:top w:val="single" w:sz="4" w:space="0" w:color="000000"/>
              <w:bottom w:val="single" w:sz="4" w:space="0" w:color="000000"/>
            </w:tcBorders>
          </w:tcPr>
          <w:p w:rsidR="00111F5C" w:rsidRPr="008870AE" w:rsidRDefault="00111F5C" w:rsidP="0073417F">
            <w:pPr>
              <w:spacing w:line="276" w:lineRule="auto"/>
              <w:jc w:val="center"/>
              <w:rPr>
                <w:rFonts w:ascii="Cambria" w:eastAsia="Times New Roman" w:hAnsi="Cambria" w:cs="Times New Roman"/>
                <w:b/>
              </w:rPr>
            </w:pPr>
            <w:r w:rsidRPr="008870AE">
              <w:rPr>
                <w:rFonts w:ascii="Cambria" w:eastAsia="Times New Roman" w:hAnsi="Cambria" w:cs="Times New Roman"/>
                <w:b/>
              </w:rPr>
              <w:t>(2)</w:t>
            </w:r>
          </w:p>
        </w:tc>
      </w:tr>
      <w:tr w:rsidR="00111F5C" w:rsidRPr="008870AE" w:rsidTr="0073417F">
        <w:trPr>
          <w:jc w:val="center"/>
        </w:trPr>
        <w:tc>
          <w:tcPr>
            <w:tcW w:w="4068" w:type="dxa"/>
            <w:tcBorders>
              <w:top w:val="single" w:sz="4" w:space="0" w:color="000000"/>
            </w:tcBorders>
          </w:tcPr>
          <w:p w:rsidR="00111F5C" w:rsidRPr="008870AE" w:rsidRDefault="00111F5C" w:rsidP="0073417F">
            <w:pPr>
              <w:spacing w:before="120" w:line="360" w:lineRule="auto"/>
              <w:jc w:val="both"/>
              <w:rPr>
                <w:rFonts w:ascii="Cambria" w:eastAsia="Times New Roman" w:hAnsi="Cambria" w:cs="Times New Roman"/>
              </w:rPr>
            </w:pPr>
            <w:r w:rsidRPr="008870AE">
              <w:rPr>
                <w:rFonts w:ascii="Cambria" w:eastAsia="Times New Roman" w:hAnsi="Cambria" w:cs="Times New Roman"/>
              </w:rPr>
              <w:lastRenderedPageBreak/>
              <w:t>CCC</w:t>
            </w:r>
          </w:p>
        </w:tc>
        <w:tc>
          <w:tcPr>
            <w:tcW w:w="1725" w:type="dxa"/>
            <w:tcBorders>
              <w:top w:val="single" w:sz="4" w:space="0" w:color="000000"/>
            </w:tcBorders>
          </w:tcPr>
          <w:p w:rsidR="00111F5C" w:rsidRPr="008870AE" w:rsidRDefault="00111F5C" w:rsidP="0073417F">
            <w:pPr>
              <w:spacing w:before="120" w:line="360" w:lineRule="auto"/>
              <w:jc w:val="center"/>
              <w:rPr>
                <w:rFonts w:ascii="Cambria" w:eastAsia="Times New Roman" w:hAnsi="Cambria" w:cs="Times New Roman"/>
              </w:rPr>
            </w:pPr>
            <w:r w:rsidRPr="008870AE">
              <w:rPr>
                <w:rFonts w:ascii="Cambria" w:eastAsia="Times New Roman" w:hAnsi="Cambria" w:cs="Times New Roman"/>
              </w:rPr>
              <w:t>0,00131**</w:t>
            </w:r>
          </w:p>
        </w:tc>
        <w:tc>
          <w:tcPr>
            <w:tcW w:w="1725" w:type="dxa"/>
            <w:tcBorders>
              <w:top w:val="single" w:sz="4" w:space="0" w:color="000000"/>
            </w:tcBorders>
          </w:tcPr>
          <w:p w:rsidR="00111F5C" w:rsidRPr="008870AE" w:rsidRDefault="00111F5C" w:rsidP="0073417F">
            <w:pPr>
              <w:spacing w:before="120" w:line="360" w:lineRule="auto"/>
              <w:jc w:val="center"/>
              <w:rPr>
                <w:rFonts w:ascii="Cambria" w:eastAsia="Times New Roman" w:hAnsi="Cambria" w:cs="Times New Roman"/>
              </w:rPr>
            </w:pP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RESESI</w:t>
            </w: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0,35094</w:t>
            </w:r>
          </w:p>
        </w:tc>
        <w:tc>
          <w:tcPr>
            <w:tcW w:w="1725" w:type="dxa"/>
          </w:tcPr>
          <w:p w:rsidR="00111F5C" w:rsidRPr="008870AE" w:rsidRDefault="00111F5C" w:rsidP="0073417F">
            <w:pPr>
              <w:spacing w:line="360" w:lineRule="auto"/>
              <w:jc w:val="center"/>
              <w:rPr>
                <w:rFonts w:ascii="Cambria" w:eastAsia="Times New Roman" w:hAnsi="Cambria" w:cs="Times New Roman"/>
              </w:rPr>
            </w:pP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CCC*RESESI</w:t>
            </w: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-0,00013</w:t>
            </w:r>
          </w:p>
        </w:tc>
        <w:tc>
          <w:tcPr>
            <w:tcW w:w="1725" w:type="dxa"/>
          </w:tcPr>
          <w:p w:rsidR="00111F5C" w:rsidRPr="008870AE" w:rsidRDefault="00111F5C" w:rsidP="0073417F">
            <w:pPr>
              <w:spacing w:line="360" w:lineRule="auto"/>
              <w:jc w:val="center"/>
              <w:rPr>
                <w:rFonts w:ascii="Cambria" w:eastAsia="Times New Roman" w:hAnsi="Cambria" w:cs="Times New Roman"/>
              </w:rPr>
            </w:pP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DOI</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jc w:val="center"/>
              <w:rPr>
                <w:rFonts w:ascii="Cambria" w:eastAsia="Times New Roman" w:hAnsi="Cambria" w:cs="Times New Roman"/>
              </w:rPr>
            </w:pPr>
            <w:r w:rsidRPr="008870AE">
              <w:rPr>
                <w:rFonts w:ascii="Cambria" w:eastAsia="Times New Roman" w:hAnsi="Cambria" w:cs="Times New Roman"/>
              </w:rPr>
              <w:t>0,00428***</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DOR</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0,00199*</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DOP</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0,00324***</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RESESI</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0,55645**</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DOI*RESESI</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jc w:val="center"/>
              <w:rPr>
                <w:rFonts w:ascii="Cambria" w:eastAsia="Times New Roman" w:hAnsi="Cambria" w:cs="Times New Roman"/>
              </w:rPr>
            </w:pPr>
            <w:r w:rsidRPr="008870AE">
              <w:rPr>
                <w:rFonts w:ascii="Cambria" w:eastAsia="Times New Roman" w:hAnsi="Cambria" w:cs="Times New Roman"/>
              </w:rPr>
              <w:t>0,00287***</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DOR*RESESI</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-0,00581</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DOP*RESESI</w:t>
            </w:r>
          </w:p>
        </w:tc>
        <w:tc>
          <w:tcPr>
            <w:tcW w:w="1725" w:type="dxa"/>
          </w:tcPr>
          <w:p w:rsidR="00111F5C" w:rsidRPr="008870AE" w:rsidRDefault="00111F5C" w:rsidP="0073417F">
            <w:pPr>
              <w:spacing w:line="360" w:lineRule="auto"/>
              <w:jc w:val="center"/>
              <w:rPr>
                <w:rFonts w:ascii="Cambria" w:eastAsia="Times New Roman" w:hAnsi="Cambria" w:cs="Times New Roman"/>
              </w:rPr>
            </w:pP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-0,00111</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LEV</w:t>
            </w: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-5,71968***</w:t>
            </w:r>
          </w:p>
        </w:tc>
        <w:tc>
          <w:tcPr>
            <w:tcW w:w="1725" w:type="dxa"/>
          </w:tcPr>
          <w:p w:rsidR="00111F5C" w:rsidRPr="008870AE" w:rsidRDefault="00111F5C" w:rsidP="0073417F">
            <w:pPr>
              <w:spacing w:line="360" w:lineRule="auto"/>
              <w:jc w:val="center"/>
              <w:rPr>
                <w:rFonts w:ascii="Cambria" w:eastAsia="Times New Roman" w:hAnsi="Cambria" w:cs="Times New Roman"/>
              </w:rPr>
            </w:pPr>
            <w:r w:rsidRPr="008870AE">
              <w:rPr>
                <w:rFonts w:ascii="Cambria" w:eastAsia="Times New Roman" w:hAnsi="Cambria" w:cs="Times New Roman"/>
              </w:rPr>
              <w:t>-5,80719***</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SIZE</w:t>
            </w:r>
          </w:p>
        </w:tc>
        <w:tc>
          <w:tcPr>
            <w:tcW w:w="1725" w:type="dxa"/>
          </w:tcPr>
          <w:p w:rsidR="00111F5C" w:rsidRPr="008870AE" w:rsidRDefault="00111F5C" w:rsidP="0073417F">
            <w:pPr>
              <w:spacing w:line="360" w:lineRule="auto"/>
              <w:rPr>
                <w:rFonts w:ascii="Cambria" w:eastAsia="Times New Roman" w:hAnsi="Cambria" w:cs="Times New Roman"/>
              </w:rPr>
            </w:pPr>
            <w:r w:rsidRPr="008870AE">
              <w:rPr>
                <w:rFonts w:ascii="Cambria" w:eastAsia="Times New Roman" w:hAnsi="Cambria" w:cs="Times New Roman"/>
              </w:rPr>
              <w:t xml:space="preserve">     0,94756***</w:t>
            </w:r>
          </w:p>
        </w:tc>
        <w:tc>
          <w:tcPr>
            <w:tcW w:w="1725" w:type="dxa"/>
          </w:tcPr>
          <w:p w:rsidR="00111F5C" w:rsidRPr="008870AE" w:rsidRDefault="00111F5C" w:rsidP="0073417F">
            <w:pPr>
              <w:spacing w:line="360" w:lineRule="auto"/>
              <w:jc w:val="center"/>
              <w:rPr>
                <w:rFonts w:ascii="Cambria" w:eastAsia="Times New Roman" w:hAnsi="Cambria" w:cs="Times New Roman"/>
              </w:rPr>
            </w:pPr>
            <w:r w:rsidRPr="008870AE">
              <w:rPr>
                <w:rFonts w:ascii="Cambria" w:eastAsia="Times New Roman" w:hAnsi="Cambria" w:cs="Times New Roman"/>
              </w:rPr>
              <w:t>0,90379***</w:t>
            </w:r>
          </w:p>
        </w:tc>
      </w:tr>
      <w:tr w:rsidR="00111F5C" w:rsidRPr="008870AE" w:rsidTr="0073417F">
        <w:trPr>
          <w:jc w:val="center"/>
        </w:trPr>
        <w:tc>
          <w:tcPr>
            <w:tcW w:w="4068"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SGROW</w:t>
            </w:r>
          </w:p>
        </w:tc>
        <w:tc>
          <w:tcPr>
            <w:tcW w:w="1725" w:type="dxa"/>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 xml:space="preserve">     0,04573***</w:t>
            </w:r>
          </w:p>
        </w:tc>
        <w:tc>
          <w:tcPr>
            <w:tcW w:w="1725" w:type="dxa"/>
          </w:tcPr>
          <w:p w:rsidR="00111F5C" w:rsidRPr="008870AE" w:rsidRDefault="00111F5C" w:rsidP="0073417F">
            <w:pPr>
              <w:spacing w:line="360" w:lineRule="auto"/>
              <w:jc w:val="center"/>
              <w:rPr>
                <w:rFonts w:ascii="Cambria" w:eastAsia="Times New Roman" w:hAnsi="Cambria" w:cs="Times New Roman"/>
              </w:rPr>
            </w:pPr>
            <w:r w:rsidRPr="008870AE">
              <w:rPr>
                <w:rFonts w:ascii="Cambria" w:eastAsia="Times New Roman" w:hAnsi="Cambria" w:cs="Times New Roman"/>
              </w:rPr>
              <w:t>0,04697***</w:t>
            </w:r>
          </w:p>
        </w:tc>
      </w:tr>
      <w:tr w:rsidR="00111F5C" w:rsidRPr="008870AE" w:rsidTr="0073417F">
        <w:trPr>
          <w:jc w:val="center"/>
        </w:trPr>
        <w:tc>
          <w:tcPr>
            <w:tcW w:w="4068" w:type="dxa"/>
            <w:tcBorders>
              <w:bottom w:val="single" w:sz="4" w:space="0" w:color="000000"/>
            </w:tcBorders>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KONSTANTA</w:t>
            </w:r>
          </w:p>
        </w:tc>
        <w:tc>
          <w:tcPr>
            <w:tcW w:w="1725" w:type="dxa"/>
            <w:tcBorders>
              <w:bottom w:val="single" w:sz="4" w:space="0" w:color="000000"/>
            </w:tcBorders>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 xml:space="preserve">     0,31230</w:t>
            </w:r>
          </w:p>
        </w:tc>
        <w:tc>
          <w:tcPr>
            <w:tcW w:w="1725" w:type="dxa"/>
            <w:tcBorders>
              <w:bottom w:val="single" w:sz="4" w:space="0" w:color="000000"/>
            </w:tcBorders>
          </w:tcPr>
          <w:p w:rsidR="00111F5C" w:rsidRPr="008870AE" w:rsidRDefault="00111F5C" w:rsidP="0073417F">
            <w:pPr>
              <w:spacing w:line="360" w:lineRule="auto"/>
              <w:jc w:val="both"/>
              <w:rPr>
                <w:rFonts w:ascii="Cambria" w:eastAsia="Times New Roman" w:hAnsi="Cambria" w:cs="Times New Roman"/>
              </w:rPr>
            </w:pPr>
            <w:r w:rsidRPr="008870AE">
              <w:rPr>
                <w:rFonts w:ascii="Cambria" w:eastAsia="Times New Roman" w:hAnsi="Cambria" w:cs="Times New Roman"/>
              </w:rPr>
              <w:t xml:space="preserve">    0,01677***</w:t>
            </w:r>
          </w:p>
        </w:tc>
      </w:tr>
    </w:tbl>
    <w:p w:rsidR="00111F5C" w:rsidRPr="008870AE" w:rsidRDefault="00111F5C" w:rsidP="007210B2">
      <w:pPr>
        <w:spacing w:after="0" w:line="240" w:lineRule="auto"/>
        <w:ind w:left="1530" w:hanging="537"/>
        <w:rPr>
          <w:rFonts w:ascii="Cambria" w:eastAsia="Times New Roman" w:hAnsi="Cambria" w:cs="Times New Roman"/>
          <w:color w:val="000000"/>
          <w:sz w:val="20"/>
          <w:szCs w:val="20"/>
        </w:rPr>
      </w:pPr>
      <w:r w:rsidRPr="008870AE">
        <w:rPr>
          <w:rFonts w:ascii="Cambria" w:eastAsia="Times New Roman" w:hAnsi="Cambria" w:cs="Times New Roman"/>
          <w:sz w:val="20"/>
          <w:szCs w:val="20"/>
        </w:rPr>
        <w:t xml:space="preserve">*** Signifikan pada level 1%; ** Signifikan pada level 5%; *Signifikan pada level 10%. </w:t>
      </w:r>
    </w:p>
    <w:p w:rsidR="007210B2" w:rsidRPr="008870AE" w:rsidRDefault="00111F5C" w:rsidP="007210B2">
      <w:pPr>
        <w:spacing w:line="240" w:lineRule="auto"/>
        <w:ind w:left="993" w:right="747"/>
        <w:jc w:val="both"/>
        <w:rPr>
          <w:rFonts w:ascii="Cambria" w:eastAsia="Times New Roman" w:hAnsi="Cambria" w:cs="Times New Roman"/>
          <w:sz w:val="24"/>
          <w:szCs w:val="24"/>
        </w:rPr>
      </w:pPr>
      <w:r w:rsidRPr="008870AE">
        <w:rPr>
          <w:rFonts w:ascii="Cambria" w:eastAsia="Times New Roman" w:hAnsi="Cambria" w:cs="Times New Roman"/>
          <w:color w:val="000000"/>
          <w:sz w:val="20"/>
          <w:szCs w:val="20"/>
        </w:rPr>
        <w:t xml:space="preserve">DOI adalah </w:t>
      </w:r>
      <w:r w:rsidRPr="008870AE">
        <w:rPr>
          <w:rFonts w:ascii="Cambria" w:eastAsia="Times New Roman" w:hAnsi="Cambria" w:cs="Times New Roman"/>
          <w:i/>
          <w:color w:val="000000"/>
          <w:sz w:val="20"/>
          <w:szCs w:val="20"/>
        </w:rPr>
        <w:t>days of inventory</w:t>
      </w:r>
      <w:r w:rsidRPr="008870AE">
        <w:rPr>
          <w:rFonts w:ascii="Cambria" w:eastAsia="Times New Roman" w:hAnsi="Cambria" w:cs="Times New Roman"/>
          <w:color w:val="000000"/>
          <w:sz w:val="20"/>
          <w:szCs w:val="20"/>
        </w:rPr>
        <w:t xml:space="preserve">; DOR adalah </w:t>
      </w:r>
      <w:r w:rsidRPr="008870AE">
        <w:rPr>
          <w:rFonts w:ascii="Cambria" w:eastAsia="Times New Roman" w:hAnsi="Cambria" w:cs="Times New Roman"/>
          <w:i/>
          <w:color w:val="000000"/>
          <w:sz w:val="20"/>
          <w:szCs w:val="20"/>
        </w:rPr>
        <w:t>days of receivable</w:t>
      </w:r>
      <w:r w:rsidRPr="008870AE">
        <w:rPr>
          <w:rFonts w:ascii="Cambria" w:eastAsia="Times New Roman" w:hAnsi="Cambria" w:cs="Times New Roman"/>
          <w:color w:val="000000"/>
          <w:sz w:val="20"/>
          <w:szCs w:val="20"/>
        </w:rPr>
        <w:t xml:space="preserve">; DOP adalah </w:t>
      </w:r>
      <w:r w:rsidRPr="008870AE">
        <w:rPr>
          <w:rFonts w:ascii="Cambria" w:eastAsia="Times New Roman" w:hAnsi="Cambria" w:cs="Times New Roman"/>
          <w:i/>
          <w:color w:val="000000"/>
          <w:sz w:val="20"/>
          <w:szCs w:val="20"/>
        </w:rPr>
        <w:t>days of payable</w:t>
      </w:r>
      <w:r w:rsidRPr="008870AE">
        <w:rPr>
          <w:rFonts w:ascii="Cambria" w:eastAsia="Times New Roman" w:hAnsi="Cambria" w:cs="Times New Roman"/>
          <w:color w:val="000000"/>
          <w:sz w:val="20"/>
          <w:szCs w:val="20"/>
        </w:rPr>
        <w:t xml:space="preserve">; RESESI adalah </w:t>
      </w:r>
      <w:r w:rsidRPr="008870AE">
        <w:rPr>
          <w:rFonts w:ascii="Cambria" w:eastAsia="Times New Roman" w:hAnsi="Cambria" w:cs="Times New Roman"/>
          <w:i/>
          <w:color w:val="000000"/>
          <w:sz w:val="20"/>
          <w:szCs w:val="20"/>
        </w:rPr>
        <w:t>dummy</w:t>
      </w:r>
      <w:r w:rsidRPr="008870AE">
        <w:rPr>
          <w:rFonts w:ascii="Cambria" w:eastAsia="Times New Roman" w:hAnsi="Cambria" w:cs="Times New Roman"/>
          <w:color w:val="000000"/>
          <w:sz w:val="20"/>
          <w:szCs w:val="20"/>
        </w:rPr>
        <w:t xml:space="preserve"> kondisi resesi; LEV adalah rasio utang; SIZE adalah ukuran perusahaan; SGROW adalah pertumbuhan penjualan</w:t>
      </w:r>
    </w:p>
    <w:p w:rsidR="007210B2" w:rsidRPr="008870AE" w:rsidRDefault="00111F5C" w:rsidP="007210B2">
      <w:pPr>
        <w:pBdr>
          <w:top w:val="nil"/>
          <w:left w:val="nil"/>
          <w:bottom w:val="nil"/>
          <w:right w:val="nil"/>
          <w:between w:val="nil"/>
        </w:pBdr>
        <w:spacing w:after="0" w:line="240" w:lineRule="auto"/>
        <w:ind w:firstLine="426"/>
        <w:jc w:val="both"/>
        <w:rPr>
          <w:rFonts w:ascii="Cambria" w:eastAsia="Times New Roman" w:hAnsi="Cambria" w:cs="Times New Roman"/>
        </w:rPr>
      </w:pPr>
      <w:r w:rsidRPr="008870AE">
        <w:rPr>
          <w:rFonts w:ascii="Cambria" w:eastAsia="Times New Roman" w:hAnsi="Cambria" w:cs="Times New Roman"/>
        </w:rPr>
        <w:t>Penelitian ini menggunakan model yang diadopsi dari penelitian yang dilakukan oleh Enqvist (2014) di Finlandia. Model 1 digunakan untuk menguji hipotesis 1 dan 2, yakni menentukan hubungan antara CCC dan ROA serta pengaruh kondisi resesi terhadap hubungan kedua variabel tersebut. Sedangkan Model 2 digunakan untuk menguji turunan hipotesis 1 dan 2, yakni hubungan antara turunan CCC dan ROA serta pengaruh kondisi resesi terhadap hubungan tersebut. Dari tabel 4 dapat dilihat bahwa CCC memiliki hubungan yang positif terhadap ROA dengan nilai koefisien sebesar 0</w:t>
      </w:r>
      <w:proofErr w:type="gramStart"/>
      <w:r w:rsidRPr="008870AE">
        <w:rPr>
          <w:rFonts w:ascii="Cambria" w:eastAsia="Times New Roman" w:hAnsi="Cambria" w:cs="Times New Roman"/>
        </w:rPr>
        <w:t>,00131</w:t>
      </w:r>
      <w:proofErr w:type="gramEnd"/>
      <w:r w:rsidRPr="008870AE">
        <w:rPr>
          <w:rFonts w:ascii="Cambria" w:eastAsia="Times New Roman" w:hAnsi="Cambria" w:cs="Times New Roman"/>
        </w:rPr>
        <w:t xml:space="preserve"> dan signifikan pada level 99%. Dengan demikian semakin panjang periode konversi kas maka profitabilitas yang diperoleh perusahaan di Asia Tenggara pun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semakin besar. Dengan demikian, hipotesis 1 yang menyatakan adanya hubungan negatif antara CCC dan profitabilitas ditolak. Berdasarkan hasil interaksi antara CCC dan kondisi resesi yang dapat dilihat pada variabel CCC*RESESI, menunjukkan bahwa kondisi resesi tidak memengaruhi hubungan antara CCC dan ROA dilihat dari signifikansi yang lemah. Sehingga, hipotesis 2 yang menjelaskan bahwa kondisi resesi memperkuat hubungan antara CCC dan profitabilitas juga ditolak.</w:t>
      </w:r>
    </w:p>
    <w:p w:rsidR="007210B2" w:rsidRPr="008870AE" w:rsidRDefault="00111F5C" w:rsidP="007210B2">
      <w:pPr>
        <w:pBdr>
          <w:top w:val="nil"/>
          <w:left w:val="nil"/>
          <w:bottom w:val="nil"/>
          <w:right w:val="nil"/>
          <w:between w:val="nil"/>
        </w:pBdr>
        <w:spacing w:before="240" w:after="0" w:line="240" w:lineRule="auto"/>
        <w:ind w:firstLine="426"/>
        <w:jc w:val="both"/>
        <w:rPr>
          <w:rFonts w:ascii="Cambria" w:eastAsia="Times New Roman" w:hAnsi="Cambria" w:cs="Times New Roman"/>
        </w:rPr>
      </w:pPr>
      <w:r w:rsidRPr="008870AE">
        <w:rPr>
          <w:rFonts w:ascii="Cambria" w:eastAsia="Times New Roman" w:hAnsi="Cambria" w:cs="Times New Roman"/>
        </w:rPr>
        <w:lastRenderedPageBreak/>
        <w:t xml:space="preserve">Hasil regresi untuk model 2 menunjukkan bahwa baik untuk variabel DOI, DOR, dan DOP memiliki hubungan positif yang signifikan dengan ROA. Memperpanjang periode persediaan, piutang, serta utang dapat membantu perusahaan di Asia Tenggara untuk meningkatkan profitabilita yang dimiliki. Maka, hipotesis 1a dan 1b yang menjelaskan adanya hubungan negatif antara DOI dan DOR terhadap profitabilitas ditolak. Sedangkan hipotesis 1c diterima karena hasil regresi mendukung hipotesis tersebut. Setelah diinteraksikan dengan kondisi resesi, diketahui bahwa kondisi resesi hanya memengaruhi hubungan antara DOI dan ROA. Semakin panjang periode persediaan perusahaan di Asia Tenggara ketika resesi,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memberikan profitabilitas yang lebih tinggi. Sedangkan, hubungan antara DOR dan DOP terhadap profitabilitas tidak dipengaruhi oleh kondisi resesi. Oleh karena itu, hipotesis 2a, 2b, dan 2c ditolak.</w:t>
      </w:r>
    </w:p>
    <w:p w:rsidR="00111F5C" w:rsidRPr="008870AE" w:rsidRDefault="00111F5C" w:rsidP="007210B2">
      <w:pPr>
        <w:pBdr>
          <w:top w:val="nil"/>
          <w:left w:val="nil"/>
          <w:bottom w:val="nil"/>
          <w:right w:val="nil"/>
          <w:between w:val="nil"/>
        </w:pBdr>
        <w:spacing w:before="240" w:after="0" w:line="240" w:lineRule="auto"/>
        <w:ind w:firstLine="426"/>
        <w:jc w:val="both"/>
        <w:rPr>
          <w:rFonts w:ascii="Cambria" w:eastAsia="Times New Roman" w:hAnsi="Cambria" w:cs="Times New Roman"/>
        </w:rPr>
      </w:pPr>
      <w:r w:rsidRPr="008870AE">
        <w:rPr>
          <w:rFonts w:ascii="Cambria" w:eastAsia="Times New Roman" w:hAnsi="Cambria" w:cs="Times New Roman"/>
        </w:rPr>
        <w:t xml:space="preserve">Variabel kontrol yang digunakan dalam penelitian semuanya memiliki hubungan yang signifikan terhadap ROA. LEV menunjukkan adanya hubungan negatif terhadap ROA yang dapat dijelaskan dengan semakin besar hutang yang dimiliki perusahaan di Asia Tenggara maka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semakin kecil pula profitabilitas yang diperoleh. Sedangkan SGROW dan SIZE memiliki hubungan yang positif terhadap ROA. Maka, semakin besar ukuran perusahaan dan pertumbuhan penjualan yang diperoleh </w:t>
      </w:r>
      <w:proofErr w:type="gramStart"/>
      <w:r w:rsidRPr="008870AE">
        <w:rPr>
          <w:rFonts w:ascii="Cambria" w:eastAsia="Times New Roman" w:hAnsi="Cambria" w:cs="Times New Roman"/>
        </w:rPr>
        <w:t>akan</w:t>
      </w:r>
      <w:proofErr w:type="gramEnd"/>
      <w:r w:rsidRPr="008870AE">
        <w:rPr>
          <w:rFonts w:ascii="Cambria" w:eastAsia="Times New Roman" w:hAnsi="Cambria" w:cs="Times New Roman"/>
        </w:rPr>
        <w:t xml:space="preserve"> semakin besar pula profitabilitas yang diperoleh perusahaan di Asia Tenggara.</w:t>
      </w:r>
    </w:p>
    <w:p w:rsidR="006677F7" w:rsidRPr="008870AE" w:rsidRDefault="006677F7" w:rsidP="006677F7">
      <w:pPr>
        <w:pBdr>
          <w:top w:val="nil"/>
          <w:left w:val="nil"/>
          <w:bottom w:val="nil"/>
          <w:right w:val="nil"/>
          <w:between w:val="nil"/>
        </w:pBdr>
        <w:spacing w:after="0" w:line="240" w:lineRule="auto"/>
        <w:ind w:firstLine="426"/>
        <w:jc w:val="both"/>
        <w:rPr>
          <w:rFonts w:ascii="Cambria" w:eastAsia="Times New Roman" w:hAnsi="Cambria" w:cs="Times New Roman"/>
        </w:rPr>
      </w:pPr>
    </w:p>
    <w:p w:rsidR="007210B2" w:rsidRPr="008870AE" w:rsidRDefault="007210B2" w:rsidP="006677F7">
      <w:pPr>
        <w:pStyle w:val="ListParagraph"/>
        <w:numPr>
          <w:ilvl w:val="0"/>
          <w:numId w:val="5"/>
        </w:numPr>
        <w:pBdr>
          <w:top w:val="nil"/>
          <w:left w:val="nil"/>
          <w:bottom w:val="nil"/>
          <w:right w:val="nil"/>
          <w:between w:val="nil"/>
        </w:pBdr>
        <w:spacing w:after="0" w:line="240" w:lineRule="auto"/>
        <w:ind w:left="426" w:hanging="426"/>
        <w:jc w:val="both"/>
        <w:rPr>
          <w:rFonts w:ascii="Cambria" w:eastAsia="Times New Roman" w:hAnsi="Cambria" w:cs="Times New Roman"/>
          <w:i/>
          <w:color w:val="000000"/>
        </w:rPr>
      </w:pPr>
      <w:r w:rsidRPr="008870AE">
        <w:rPr>
          <w:rFonts w:ascii="Cambria" w:eastAsia="Times New Roman" w:hAnsi="Cambria" w:cs="Times New Roman"/>
          <w:i/>
          <w:color w:val="000000"/>
        </w:rPr>
        <w:t>Pembahasan</w:t>
      </w:r>
    </w:p>
    <w:p w:rsidR="006677F7" w:rsidRPr="008870AE" w:rsidRDefault="00111F5C" w:rsidP="006677F7">
      <w:pPr>
        <w:pStyle w:val="ListParagraph"/>
        <w:numPr>
          <w:ilvl w:val="0"/>
          <w:numId w:val="6"/>
        </w:numPr>
        <w:pBdr>
          <w:top w:val="nil"/>
          <w:left w:val="nil"/>
          <w:bottom w:val="nil"/>
          <w:right w:val="nil"/>
          <w:between w:val="nil"/>
        </w:pBdr>
        <w:spacing w:after="0" w:line="240" w:lineRule="auto"/>
        <w:ind w:left="567" w:hanging="567"/>
        <w:jc w:val="both"/>
        <w:rPr>
          <w:rFonts w:ascii="Cambria" w:eastAsia="Times New Roman" w:hAnsi="Cambria" w:cs="Times New Roman"/>
          <w:color w:val="000000"/>
        </w:rPr>
      </w:pPr>
      <w:r w:rsidRPr="008870AE">
        <w:rPr>
          <w:rFonts w:ascii="Cambria" w:eastAsia="Times New Roman" w:hAnsi="Cambria" w:cs="Times New Roman"/>
          <w:i/>
          <w:color w:val="000000"/>
        </w:rPr>
        <w:t>Cash Conversion Cycle</w:t>
      </w:r>
      <w:r w:rsidRPr="008870AE">
        <w:rPr>
          <w:rFonts w:ascii="Cambria" w:eastAsia="Times New Roman" w:hAnsi="Cambria" w:cs="Times New Roman"/>
          <w:color w:val="000000"/>
        </w:rPr>
        <w:t xml:space="preserve"> dan Profitabilitas</w:t>
      </w:r>
    </w:p>
    <w:p w:rsidR="006677F7" w:rsidRPr="008870AE" w:rsidRDefault="00111F5C" w:rsidP="006677F7">
      <w:pPr>
        <w:pBdr>
          <w:top w:val="nil"/>
          <w:left w:val="nil"/>
          <w:bottom w:val="nil"/>
          <w:right w:val="nil"/>
          <w:between w:val="nil"/>
        </w:pBdr>
        <w:spacing w:line="240" w:lineRule="auto"/>
        <w:ind w:firstLine="426"/>
        <w:jc w:val="both"/>
        <w:rPr>
          <w:rFonts w:ascii="Cambria" w:eastAsia="Times New Roman" w:hAnsi="Cambria" w:cs="Times New Roman"/>
          <w:i/>
          <w:color w:val="000000"/>
        </w:rPr>
      </w:pPr>
      <w:r w:rsidRPr="008870AE">
        <w:rPr>
          <w:rFonts w:ascii="Cambria" w:eastAsia="Times New Roman" w:hAnsi="Cambria" w:cs="Times New Roman"/>
          <w:color w:val="000000"/>
        </w:rPr>
        <w:t xml:space="preserve">Tabel </w:t>
      </w:r>
      <w:r w:rsidRPr="008870AE">
        <w:rPr>
          <w:rFonts w:ascii="Cambria" w:eastAsia="Times New Roman" w:hAnsi="Cambria" w:cs="Times New Roman"/>
        </w:rPr>
        <w:t>4</w:t>
      </w:r>
      <w:r w:rsidRPr="008870AE">
        <w:rPr>
          <w:rFonts w:ascii="Cambria" w:eastAsia="Times New Roman" w:hAnsi="Cambria" w:cs="Times New Roman"/>
          <w:color w:val="000000"/>
        </w:rPr>
        <w:t xml:space="preserve"> menunjukkan adanya hubungan positif antara CCC dan profitabilitas, maka dari itu hipotesis H1 ditolak. Hasil regresi penelitian ini mendukung penelitian yang dilakukan oleh Lyroudi dan Lazaridis (2000), Gil</w:t>
      </w:r>
      <w:r w:rsidRPr="008870AE">
        <w:rPr>
          <w:rFonts w:ascii="Cambria" w:eastAsia="Times New Roman" w:hAnsi="Cambria" w:cs="Times New Roman"/>
        </w:rPr>
        <w:t xml:space="preserve"> </w:t>
      </w:r>
      <w:r w:rsidRPr="008870AE">
        <w:rPr>
          <w:rFonts w:ascii="Cambria" w:eastAsia="Times New Roman" w:hAnsi="Cambria" w:cs="Times New Roman"/>
          <w:color w:val="000000"/>
        </w:rPr>
        <w:t xml:space="preserve">dan Jobst (2010), Sharma dan Kumar (2011), dan Abuzayed (2012). Hubungan antara CCC dan ROA yang positif menunjukkan bahwa periode CCC yang semakin panjang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meningkatkan profit perusahaan. Periode CCC yang panjang tersebut mengindikasikan bahwa perusahaan-perusahaan di Asia Tenggara menginvestasikan kasnya dalam bentuk aset jangka pendek lainnya, yaitu persediaan dan piutang. Dengan kata lain, perusahaan-perusahaan di Asia Tenggara belum menjalankan sistem pengelolaan manajemen modal kerja yang efisien (Appuhami, 2008; Haron &amp; Nomran; 2016, Tran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2017). Dengan memilih untuk memiliki perputaran kas yang lebih panjang, perusahaan terbebas dari </w:t>
      </w:r>
      <w:r w:rsidRPr="008870AE">
        <w:rPr>
          <w:rFonts w:ascii="Cambria" w:eastAsia="Times New Roman" w:hAnsi="Cambria" w:cs="Times New Roman"/>
          <w:i/>
          <w:color w:val="000000"/>
        </w:rPr>
        <w:t xml:space="preserve">opportunity loss </w:t>
      </w:r>
      <w:r w:rsidRPr="008870AE">
        <w:rPr>
          <w:rFonts w:ascii="Cambria" w:eastAsia="Times New Roman" w:hAnsi="Cambria" w:cs="Times New Roman"/>
          <w:color w:val="000000"/>
        </w:rPr>
        <w:t xml:space="preserve">akibat adanya risiko persediaan menjadi habis. Selain itu, memberikan syarat pelunasan piutang yang lebih panjang juga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dapat meningkatkan minat beli konsumen dan meningkatkan pendapatan perusahaan (Tran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2017). Oleh karena itu, memiliki periode CCC yang lebih panjang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dapat meningka</w:t>
      </w:r>
      <w:r w:rsidR="006677F7" w:rsidRPr="008870AE">
        <w:rPr>
          <w:rFonts w:ascii="Cambria" w:eastAsia="Times New Roman" w:hAnsi="Cambria" w:cs="Times New Roman"/>
          <w:color w:val="000000"/>
        </w:rPr>
        <w:t>tkan profitabilitas perusahaan.</w:t>
      </w:r>
    </w:p>
    <w:p w:rsidR="006677F7" w:rsidRPr="008870AE" w:rsidRDefault="00111F5C" w:rsidP="006677F7">
      <w:pPr>
        <w:pStyle w:val="ListParagraph"/>
        <w:numPr>
          <w:ilvl w:val="0"/>
          <w:numId w:val="6"/>
        </w:numPr>
        <w:pBdr>
          <w:top w:val="nil"/>
          <w:left w:val="nil"/>
          <w:bottom w:val="nil"/>
          <w:right w:val="nil"/>
          <w:between w:val="nil"/>
        </w:pBdr>
        <w:spacing w:after="0" w:line="240" w:lineRule="auto"/>
        <w:ind w:left="567" w:hanging="567"/>
        <w:jc w:val="both"/>
        <w:rPr>
          <w:rFonts w:ascii="Cambria" w:eastAsia="Times New Roman" w:hAnsi="Cambria" w:cs="Times New Roman"/>
          <w:i/>
          <w:color w:val="000000"/>
        </w:rPr>
      </w:pPr>
      <w:r w:rsidRPr="008870AE">
        <w:rPr>
          <w:rFonts w:ascii="Cambria" w:eastAsia="Times New Roman" w:hAnsi="Cambria" w:cs="Times New Roman"/>
          <w:i/>
          <w:color w:val="000000"/>
        </w:rPr>
        <w:t xml:space="preserve">Days of Inventory </w:t>
      </w:r>
      <w:r w:rsidRPr="008870AE">
        <w:rPr>
          <w:rFonts w:ascii="Cambria" w:eastAsia="Times New Roman" w:hAnsi="Cambria" w:cs="Times New Roman"/>
          <w:color w:val="000000"/>
        </w:rPr>
        <w:t>dan Profitabilitas</w:t>
      </w:r>
    </w:p>
    <w:p w:rsidR="006677F7" w:rsidRPr="008870AE" w:rsidRDefault="00111F5C" w:rsidP="006677F7">
      <w:pPr>
        <w:pBdr>
          <w:top w:val="nil"/>
          <w:left w:val="nil"/>
          <w:bottom w:val="nil"/>
          <w:right w:val="nil"/>
          <w:between w:val="nil"/>
        </w:pBdr>
        <w:spacing w:line="240" w:lineRule="auto"/>
        <w:ind w:firstLine="426"/>
        <w:jc w:val="both"/>
        <w:rPr>
          <w:rFonts w:ascii="Cambria" w:eastAsia="Times New Roman" w:hAnsi="Cambria" w:cs="Times New Roman"/>
          <w:i/>
          <w:color w:val="000000"/>
        </w:rPr>
      </w:pPr>
      <w:r w:rsidRPr="008870AE">
        <w:rPr>
          <w:rFonts w:ascii="Cambria" w:eastAsia="Times New Roman" w:hAnsi="Cambria" w:cs="Times New Roman"/>
          <w:color w:val="000000"/>
        </w:rPr>
        <w:t xml:space="preserve">Hasil regresi menunjukkan adanya hubungan positif antara DOI dan profitabilitas. Oleh karena itu, hipotesis H1a juga ditolak. Memiliki persediaan dalam jumlah yang besar dapat menghindarkan perusahaan dari risiko terjadinya </w:t>
      </w:r>
      <w:r w:rsidRPr="008870AE">
        <w:rPr>
          <w:rFonts w:ascii="Cambria" w:eastAsia="Times New Roman" w:hAnsi="Cambria" w:cs="Times New Roman"/>
          <w:i/>
          <w:color w:val="000000"/>
        </w:rPr>
        <w:t xml:space="preserve">stock out </w:t>
      </w:r>
      <w:r w:rsidRPr="008870AE">
        <w:rPr>
          <w:rFonts w:ascii="Cambria" w:eastAsia="Times New Roman" w:hAnsi="Cambria" w:cs="Times New Roman"/>
          <w:color w:val="000000"/>
        </w:rPr>
        <w:t xml:space="preserve">(Tran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2017). Persediaan merupakan aset jangka pendek yang dimiliki dan digunakan untuk menghasilkan keuntungan bagi perusahaan. Hasil dari penelitian ini menunjukkan bahwa perusahaan-perusahaan di Asia Tenggara masih menerapkan strategi keuangan yang konservatif dengan memilih untuk memiliki cadangan persediaan dalam jumlah yang besar.</w:t>
      </w:r>
    </w:p>
    <w:p w:rsidR="006677F7" w:rsidRPr="008870AE" w:rsidRDefault="00111F5C" w:rsidP="006677F7">
      <w:pPr>
        <w:pStyle w:val="ListParagraph"/>
        <w:numPr>
          <w:ilvl w:val="0"/>
          <w:numId w:val="6"/>
        </w:numPr>
        <w:pBdr>
          <w:top w:val="nil"/>
          <w:left w:val="nil"/>
          <w:bottom w:val="nil"/>
          <w:right w:val="nil"/>
          <w:between w:val="nil"/>
        </w:pBdr>
        <w:spacing w:after="0" w:line="240" w:lineRule="auto"/>
        <w:ind w:left="567" w:hanging="567"/>
        <w:jc w:val="both"/>
        <w:rPr>
          <w:rFonts w:ascii="Cambria" w:eastAsia="Times New Roman" w:hAnsi="Cambria" w:cs="Times New Roman"/>
          <w:i/>
          <w:color w:val="000000"/>
        </w:rPr>
      </w:pPr>
      <w:r w:rsidRPr="008870AE">
        <w:rPr>
          <w:rFonts w:ascii="Cambria" w:eastAsia="Times New Roman" w:hAnsi="Cambria" w:cs="Times New Roman"/>
          <w:i/>
          <w:color w:val="000000"/>
        </w:rPr>
        <w:t xml:space="preserve">Days of Receivable </w:t>
      </w:r>
      <w:r w:rsidRPr="008870AE">
        <w:rPr>
          <w:rFonts w:ascii="Cambria" w:eastAsia="Times New Roman" w:hAnsi="Cambria" w:cs="Times New Roman"/>
          <w:color w:val="000000"/>
        </w:rPr>
        <w:t>dan Profitabilitas</w:t>
      </w:r>
    </w:p>
    <w:p w:rsidR="006677F7" w:rsidRPr="008870AE" w:rsidRDefault="00111F5C" w:rsidP="006677F7">
      <w:pPr>
        <w:pBdr>
          <w:top w:val="nil"/>
          <w:left w:val="nil"/>
          <w:bottom w:val="nil"/>
          <w:right w:val="nil"/>
          <w:between w:val="nil"/>
        </w:pBdr>
        <w:spacing w:line="240" w:lineRule="auto"/>
        <w:ind w:firstLine="426"/>
        <w:jc w:val="both"/>
        <w:rPr>
          <w:rFonts w:ascii="Cambria" w:eastAsia="Times New Roman" w:hAnsi="Cambria" w:cs="Times New Roman"/>
          <w:i/>
          <w:color w:val="000000"/>
        </w:rPr>
      </w:pPr>
      <w:r w:rsidRPr="008870AE">
        <w:rPr>
          <w:rFonts w:ascii="Cambria" w:eastAsia="Times New Roman" w:hAnsi="Cambria" w:cs="Times New Roman"/>
          <w:color w:val="000000"/>
        </w:rPr>
        <w:t xml:space="preserve">Hasil regresi juga menunjukkan adanya hubungan positif antara DOR dan profitabilitas. Perbedaan hipotesis awal dengan hasil regresi yang didapat menyebabkan hipotesis H1b juga ditolak. Adanya hubungan positif antara DOR dan profitabilitas yang ditemukan dari penelitian ini menunjukkan bahwa memperpanjang periode pelunasan piutang dapat meningkatkan profitabilitas perusahaan di Asia Tenggara. Negara-negara di Asia Tenggara umumnya memiliki keterbatasan akses kepada pendanaan eksternal (Simon, 1997). Perusahaan-perusahaan yang berukuran lebih </w:t>
      </w:r>
      <w:r w:rsidRPr="008870AE">
        <w:rPr>
          <w:rFonts w:ascii="Cambria" w:eastAsia="Times New Roman" w:hAnsi="Cambria" w:cs="Times New Roman"/>
          <w:color w:val="000000"/>
        </w:rPr>
        <w:lastRenderedPageBreak/>
        <w:t xml:space="preserve">kecil cenderung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memanfaatkan utang usaha yang diberikan oleh perusahaan-perusahaan yang mempunyai ROA yang lebih tinggi (Abuzayed, 2012). Oleh karena itu, strategi untuk memberikan kelonggaran pada pelunasan piutang dapat meningkatkan minat beli konsumen, serta memaksimalkan profitabilitas perusahaan.</w:t>
      </w:r>
    </w:p>
    <w:p w:rsidR="006677F7" w:rsidRPr="008870AE" w:rsidRDefault="00111F5C" w:rsidP="006677F7">
      <w:pPr>
        <w:pStyle w:val="ListParagraph"/>
        <w:numPr>
          <w:ilvl w:val="0"/>
          <w:numId w:val="6"/>
        </w:numPr>
        <w:pBdr>
          <w:top w:val="nil"/>
          <w:left w:val="nil"/>
          <w:bottom w:val="nil"/>
          <w:right w:val="nil"/>
          <w:between w:val="nil"/>
        </w:pBdr>
        <w:spacing w:after="0" w:line="240" w:lineRule="auto"/>
        <w:ind w:left="567" w:hanging="567"/>
        <w:jc w:val="both"/>
        <w:rPr>
          <w:rFonts w:ascii="Cambria" w:eastAsia="Times New Roman" w:hAnsi="Cambria" w:cs="Times New Roman"/>
          <w:i/>
          <w:color w:val="000000"/>
        </w:rPr>
      </w:pPr>
      <w:r w:rsidRPr="008870AE">
        <w:rPr>
          <w:rFonts w:ascii="Cambria" w:eastAsia="Times New Roman" w:hAnsi="Cambria" w:cs="Times New Roman"/>
          <w:i/>
          <w:color w:val="000000"/>
        </w:rPr>
        <w:t xml:space="preserve">Days of Payable </w:t>
      </w:r>
      <w:r w:rsidRPr="008870AE">
        <w:rPr>
          <w:rFonts w:ascii="Cambria" w:eastAsia="Times New Roman" w:hAnsi="Cambria" w:cs="Times New Roman"/>
          <w:color w:val="000000"/>
        </w:rPr>
        <w:t>dan Profitabilitas</w:t>
      </w:r>
    </w:p>
    <w:p w:rsidR="006677F7" w:rsidRPr="008870AE" w:rsidRDefault="00111F5C" w:rsidP="006677F7">
      <w:pPr>
        <w:pBdr>
          <w:top w:val="nil"/>
          <w:left w:val="nil"/>
          <w:bottom w:val="nil"/>
          <w:right w:val="nil"/>
          <w:between w:val="nil"/>
        </w:pBdr>
        <w:spacing w:line="240" w:lineRule="auto"/>
        <w:ind w:firstLine="426"/>
        <w:jc w:val="both"/>
        <w:rPr>
          <w:rFonts w:ascii="Cambria" w:eastAsia="Times New Roman" w:hAnsi="Cambria" w:cs="Times New Roman"/>
          <w:i/>
          <w:color w:val="000000"/>
        </w:rPr>
      </w:pPr>
      <w:r w:rsidRPr="008870AE">
        <w:rPr>
          <w:rFonts w:ascii="Cambria" w:eastAsia="Times New Roman" w:hAnsi="Cambria" w:cs="Times New Roman"/>
          <w:color w:val="000000"/>
        </w:rPr>
        <w:t xml:space="preserve">Hubungan di antara DOP dan profitabilitas merupakan hubungan yang positif, maka hipotesis H1c diterima. Perusahaan-perusahaan di Asia Tenggara menunggu lebih lama untuk membayar utangnya. Hal ini dilakukan untuk menjaga tingkat likuiditas perusahaan. Dengan memperlambat pembayaran utangnya, perusahaan dapat menggunakan kasnya untuk dialihkan pada kegiatan operasi yang memiliki potensi untuk meningkatkan keuntungan (Deloof, 2003). Strategi ini juga dilakukan oleh perusahaan untuk menghindarkan diri dari permasalahan likuiditas yang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menimbulkan beban yang dapat mengurangi profitabilitas.</w:t>
      </w:r>
    </w:p>
    <w:p w:rsidR="00111F5C" w:rsidRPr="008870AE" w:rsidRDefault="00111F5C" w:rsidP="006677F7">
      <w:pPr>
        <w:pStyle w:val="ListParagraph"/>
        <w:numPr>
          <w:ilvl w:val="0"/>
          <w:numId w:val="6"/>
        </w:numPr>
        <w:pBdr>
          <w:top w:val="nil"/>
          <w:left w:val="nil"/>
          <w:bottom w:val="nil"/>
          <w:right w:val="nil"/>
          <w:between w:val="nil"/>
        </w:pBdr>
        <w:spacing w:after="0" w:line="240" w:lineRule="auto"/>
        <w:ind w:left="567" w:hanging="567"/>
        <w:jc w:val="both"/>
        <w:rPr>
          <w:rFonts w:ascii="Cambria" w:eastAsia="Times New Roman" w:hAnsi="Cambria" w:cs="Times New Roman"/>
          <w:color w:val="000000"/>
        </w:rPr>
      </w:pPr>
      <w:r w:rsidRPr="008870AE">
        <w:rPr>
          <w:rFonts w:ascii="Cambria" w:eastAsia="Times New Roman" w:hAnsi="Cambria" w:cs="Times New Roman"/>
          <w:color w:val="000000"/>
        </w:rPr>
        <w:t>Kondisi Resesi Memperkuat Hubungan</w:t>
      </w:r>
      <w:r w:rsidRPr="008870AE">
        <w:rPr>
          <w:rFonts w:ascii="Cambria" w:eastAsia="Times New Roman" w:hAnsi="Cambria" w:cs="Times New Roman"/>
          <w:i/>
          <w:color w:val="000000"/>
        </w:rPr>
        <w:t xml:space="preserve"> Cash Conversion Cycle </w:t>
      </w:r>
      <w:r w:rsidRPr="008870AE">
        <w:rPr>
          <w:rFonts w:ascii="Cambria" w:eastAsia="Times New Roman" w:hAnsi="Cambria" w:cs="Times New Roman"/>
          <w:color w:val="000000"/>
        </w:rPr>
        <w:t>dan Profitabilitas</w:t>
      </w:r>
    </w:p>
    <w:p w:rsidR="006677F7" w:rsidRPr="008870AE" w:rsidRDefault="00111F5C" w:rsidP="006677F7">
      <w:pPr>
        <w:pBdr>
          <w:top w:val="nil"/>
          <w:left w:val="nil"/>
          <w:bottom w:val="nil"/>
          <w:right w:val="nil"/>
          <w:between w:val="nil"/>
        </w:pBdr>
        <w:spacing w:line="240" w:lineRule="auto"/>
        <w:ind w:firstLine="426"/>
        <w:jc w:val="both"/>
        <w:rPr>
          <w:rFonts w:ascii="Cambria" w:eastAsia="Times New Roman" w:hAnsi="Cambria" w:cs="Times New Roman"/>
          <w:color w:val="000000"/>
        </w:rPr>
      </w:pPr>
      <w:r w:rsidRPr="008870AE">
        <w:rPr>
          <w:rFonts w:ascii="Cambria" w:eastAsia="Times New Roman" w:hAnsi="Cambria" w:cs="Times New Roman"/>
          <w:color w:val="000000"/>
        </w:rPr>
        <w:t xml:space="preserve">Hasil regresi menunjukkan kondisi resesi tidak memoderasi hubungan CCC dan profitabilitas. Penelitian yang dilakukan oleh Abuzayed (2012) menemukan bahwa perusahaan-perusahaan di negara berkembang, seperti di kawasan Asia Tenggara, mengandalkan utang usaha sebagai sumber pendanaan utamanya. Oleh karena itu, walaupun perusahaan perlu untuk menjaga level likuiditas pada saat kondisi resesi terjadi, namun perusahaan-perusahaan di Asia Tenggara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kesulitan untuk mempercepat perputaran kasnya, terutama ketika akses kepada sumber pendanaan eksternal semakin terbatas (de Almeida dan Eid, 2012). Dengan demikian, kondisi resesi terjadi tidak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menjadi faktor yang mendorong perusahaan untuk mengubah strategi pengelolaan kasnya.</w:t>
      </w:r>
    </w:p>
    <w:p w:rsidR="006677F7" w:rsidRPr="008870AE" w:rsidRDefault="00111F5C" w:rsidP="006677F7">
      <w:pPr>
        <w:pStyle w:val="ListParagraph"/>
        <w:numPr>
          <w:ilvl w:val="0"/>
          <w:numId w:val="6"/>
        </w:numPr>
        <w:pBdr>
          <w:top w:val="nil"/>
          <w:left w:val="nil"/>
          <w:bottom w:val="nil"/>
          <w:right w:val="nil"/>
          <w:between w:val="nil"/>
        </w:pBdr>
        <w:spacing w:after="0" w:line="240" w:lineRule="auto"/>
        <w:ind w:left="567" w:hanging="567"/>
        <w:jc w:val="both"/>
        <w:rPr>
          <w:rFonts w:ascii="Cambria" w:eastAsia="Times New Roman" w:hAnsi="Cambria" w:cs="Times New Roman"/>
          <w:color w:val="000000"/>
        </w:rPr>
      </w:pPr>
      <w:r w:rsidRPr="008870AE">
        <w:rPr>
          <w:rFonts w:ascii="Cambria" w:eastAsia="Times New Roman" w:hAnsi="Cambria" w:cs="Times New Roman"/>
          <w:color w:val="000000"/>
        </w:rPr>
        <w:t>Kondisi Resesi Memperkuat Hubungan</w:t>
      </w:r>
      <w:r w:rsidRPr="008870AE">
        <w:rPr>
          <w:rFonts w:ascii="Cambria" w:eastAsia="Times New Roman" w:hAnsi="Cambria" w:cs="Times New Roman"/>
          <w:i/>
          <w:color w:val="000000"/>
        </w:rPr>
        <w:t xml:space="preserve"> Days of Inventory </w:t>
      </w:r>
      <w:r w:rsidRPr="008870AE">
        <w:rPr>
          <w:rFonts w:ascii="Cambria" w:eastAsia="Times New Roman" w:hAnsi="Cambria" w:cs="Times New Roman"/>
          <w:color w:val="000000"/>
        </w:rPr>
        <w:t>dan Profitabilitas</w:t>
      </w:r>
    </w:p>
    <w:p w:rsidR="006677F7" w:rsidRPr="008870AE" w:rsidRDefault="00111F5C" w:rsidP="006677F7">
      <w:pPr>
        <w:pBdr>
          <w:top w:val="nil"/>
          <w:left w:val="nil"/>
          <w:bottom w:val="nil"/>
          <w:right w:val="nil"/>
          <w:between w:val="nil"/>
        </w:pBdr>
        <w:spacing w:after="0" w:line="240" w:lineRule="auto"/>
        <w:ind w:firstLine="426"/>
        <w:jc w:val="both"/>
        <w:rPr>
          <w:rFonts w:ascii="Cambria" w:eastAsia="Times New Roman" w:hAnsi="Cambria" w:cs="Times New Roman"/>
          <w:color w:val="000000"/>
        </w:rPr>
      </w:pPr>
      <w:r w:rsidRPr="008870AE">
        <w:rPr>
          <w:rFonts w:ascii="Cambria" w:eastAsia="Times New Roman" w:hAnsi="Cambria" w:cs="Times New Roman"/>
          <w:color w:val="000000"/>
        </w:rPr>
        <w:t xml:space="preserve">Hasil regresi menemukan bahwa kondisi resesi memperkuat hubungan antara </w:t>
      </w:r>
      <w:r w:rsidRPr="008870AE">
        <w:rPr>
          <w:rFonts w:ascii="Cambria" w:eastAsia="Times New Roman" w:hAnsi="Cambria" w:cs="Times New Roman"/>
          <w:i/>
          <w:color w:val="000000"/>
        </w:rPr>
        <w:t>days of inventory</w:t>
      </w:r>
      <w:r w:rsidRPr="008870AE">
        <w:rPr>
          <w:rFonts w:ascii="Cambria" w:eastAsia="Times New Roman" w:hAnsi="Cambria" w:cs="Times New Roman"/>
          <w:color w:val="000000"/>
        </w:rPr>
        <w:t xml:space="preserve"> dan </w:t>
      </w:r>
      <w:r w:rsidRPr="008870AE">
        <w:rPr>
          <w:rFonts w:ascii="Cambria" w:eastAsia="Times New Roman" w:hAnsi="Cambria" w:cs="Times New Roman"/>
          <w:i/>
          <w:color w:val="000000"/>
        </w:rPr>
        <w:t xml:space="preserve">return on assets. </w:t>
      </w:r>
      <w:r w:rsidRPr="008870AE">
        <w:rPr>
          <w:rFonts w:ascii="Cambria" w:eastAsia="Times New Roman" w:hAnsi="Cambria" w:cs="Times New Roman"/>
          <w:color w:val="000000"/>
        </w:rPr>
        <w:t xml:space="preserve">Namun, hipotesis H2a ditolak karena hipotesis awal menduga adanya hubungan negatif antara DOI dan profitabilitas, sedangkan penelitian ini menemukan adanya hubungan positif. Pada saat resesi, daya beli masyarakat mengalami penurunan (Enqvist </w:t>
      </w:r>
      <w:r w:rsidRPr="008870AE">
        <w:rPr>
          <w:rFonts w:ascii="Cambria" w:eastAsia="Times New Roman" w:hAnsi="Cambria" w:cs="Times New Roman"/>
          <w:i/>
          <w:color w:val="000000"/>
        </w:rPr>
        <w:t>et al.</w:t>
      </w:r>
      <w:r w:rsidRPr="008870AE">
        <w:rPr>
          <w:rFonts w:ascii="Cambria" w:eastAsia="Times New Roman" w:hAnsi="Cambria" w:cs="Times New Roman"/>
          <w:color w:val="000000"/>
        </w:rPr>
        <w:t xml:space="preserve">, 2014). Penurunan permintaan ini pun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langsung berdampak terhadap penjualan yang dilakukan oleh perusahaan. Walaupun demikian, perusahaan-perusahaan cenderung tidak mengurangi jumlah produksinya karena mengharapkan terjadinya </w:t>
      </w:r>
      <w:r w:rsidRPr="008870AE">
        <w:rPr>
          <w:rFonts w:ascii="Cambria" w:eastAsia="Times New Roman" w:hAnsi="Cambria" w:cs="Times New Roman"/>
          <w:i/>
          <w:color w:val="000000"/>
        </w:rPr>
        <w:t xml:space="preserve">rebound </w:t>
      </w:r>
      <w:r w:rsidRPr="008870AE">
        <w:rPr>
          <w:rFonts w:ascii="Cambria" w:eastAsia="Times New Roman" w:hAnsi="Cambria" w:cs="Times New Roman"/>
          <w:color w:val="000000"/>
        </w:rPr>
        <w:t xml:space="preserve">(peningkatan penjualan) setelah kondisi resesi berakhir (Morgan, 1991). Spekulasi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terjadinya </w:t>
      </w:r>
      <w:r w:rsidRPr="008870AE">
        <w:rPr>
          <w:rFonts w:ascii="Cambria" w:eastAsia="Times New Roman" w:hAnsi="Cambria" w:cs="Times New Roman"/>
          <w:i/>
          <w:color w:val="000000"/>
        </w:rPr>
        <w:t>rebound</w:t>
      </w:r>
      <w:r w:rsidRPr="008870AE">
        <w:rPr>
          <w:rFonts w:ascii="Cambria" w:eastAsia="Times New Roman" w:hAnsi="Cambria" w:cs="Times New Roman"/>
          <w:color w:val="000000"/>
        </w:rPr>
        <w:t xml:space="preserve"> ini mendorong perusahaan untuk tidak mengurangi atau menghentikan proses produksi, sehingga persediaan perusahaan akan berada semakin lama pada penyimpanan. Kondisi resesi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mendorong perusahaan memiliki periode DOI yang lebih panjang sebagai upaya untuk menghindari </w:t>
      </w:r>
      <w:r w:rsidRPr="008870AE">
        <w:rPr>
          <w:rFonts w:ascii="Cambria" w:eastAsia="Times New Roman" w:hAnsi="Cambria" w:cs="Times New Roman"/>
          <w:i/>
          <w:color w:val="000000"/>
        </w:rPr>
        <w:t>stock out</w:t>
      </w:r>
      <w:r w:rsidRPr="008870AE">
        <w:rPr>
          <w:rFonts w:ascii="Cambria" w:eastAsia="Times New Roman" w:hAnsi="Cambria" w:cs="Times New Roman"/>
          <w:color w:val="000000"/>
        </w:rPr>
        <w:t xml:space="preserve"> sekaligus persiapan untuk menghadapi </w:t>
      </w:r>
      <w:r w:rsidRPr="008870AE">
        <w:rPr>
          <w:rFonts w:ascii="Cambria" w:eastAsia="Times New Roman" w:hAnsi="Cambria" w:cs="Times New Roman"/>
          <w:i/>
          <w:color w:val="000000"/>
        </w:rPr>
        <w:t>rebound</w:t>
      </w:r>
      <w:r w:rsidRPr="008870AE">
        <w:rPr>
          <w:rFonts w:ascii="Cambria" w:eastAsia="Times New Roman" w:hAnsi="Cambria" w:cs="Times New Roman"/>
          <w:color w:val="000000"/>
        </w:rPr>
        <w:t>. Oleh karena itu, kondisi resesi semakin memperkuat hubungan positif antara DOI dan profitabilitas.</w:t>
      </w:r>
    </w:p>
    <w:p w:rsidR="006677F7" w:rsidRPr="008870AE" w:rsidRDefault="00111F5C" w:rsidP="006677F7">
      <w:pPr>
        <w:pStyle w:val="ListParagraph"/>
        <w:numPr>
          <w:ilvl w:val="0"/>
          <w:numId w:val="6"/>
        </w:numPr>
        <w:pBdr>
          <w:top w:val="nil"/>
          <w:left w:val="nil"/>
          <w:bottom w:val="nil"/>
          <w:right w:val="nil"/>
          <w:between w:val="nil"/>
        </w:pBdr>
        <w:spacing w:before="240" w:after="0" w:line="240" w:lineRule="auto"/>
        <w:ind w:left="567" w:hanging="567"/>
        <w:jc w:val="both"/>
        <w:rPr>
          <w:rFonts w:ascii="Cambria" w:eastAsia="Times New Roman" w:hAnsi="Cambria" w:cs="Times New Roman"/>
          <w:color w:val="000000"/>
        </w:rPr>
      </w:pPr>
      <w:r w:rsidRPr="008870AE">
        <w:rPr>
          <w:rFonts w:ascii="Cambria" w:eastAsia="Times New Roman" w:hAnsi="Cambria" w:cs="Times New Roman"/>
          <w:color w:val="000000"/>
        </w:rPr>
        <w:t>Kondisi Resesi Memperkuat Hubungan</w:t>
      </w:r>
      <w:r w:rsidRPr="008870AE">
        <w:rPr>
          <w:rFonts w:ascii="Cambria" w:eastAsia="Times New Roman" w:hAnsi="Cambria" w:cs="Times New Roman"/>
          <w:i/>
          <w:color w:val="000000"/>
        </w:rPr>
        <w:t xml:space="preserve"> Days of Receivable </w:t>
      </w:r>
      <w:r w:rsidRPr="008870AE">
        <w:rPr>
          <w:rFonts w:ascii="Cambria" w:eastAsia="Times New Roman" w:hAnsi="Cambria" w:cs="Times New Roman"/>
          <w:color w:val="000000"/>
        </w:rPr>
        <w:t>dan Profitabilitas</w:t>
      </w:r>
    </w:p>
    <w:p w:rsidR="006677F7" w:rsidRPr="008870AE" w:rsidRDefault="00111F5C" w:rsidP="006677F7">
      <w:pPr>
        <w:pBdr>
          <w:top w:val="nil"/>
          <w:left w:val="nil"/>
          <w:bottom w:val="nil"/>
          <w:right w:val="nil"/>
          <w:between w:val="nil"/>
        </w:pBdr>
        <w:spacing w:line="240" w:lineRule="auto"/>
        <w:ind w:firstLine="426"/>
        <w:jc w:val="both"/>
        <w:rPr>
          <w:rFonts w:ascii="Cambria" w:eastAsia="Times New Roman" w:hAnsi="Cambria" w:cs="Times New Roman"/>
          <w:color w:val="000000"/>
        </w:rPr>
      </w:pPr>
      <w:r w:rsidRPr="008870AE">
        <w:rPr>
          <w:rFonts w:ascii="Cambria" w:eastAsia="Times New Roman" w:hAnsi="Cambria" w:cs="Times New Roman"/>
          <w:color w:val="000000"/>
        </w:rPr>
        <w:t xml:space="preserve">Tabel </w:t>
      </w:r>
      <w:r w:rsidRPr="008870AE">
        <w:rPr>
          <w:rFonts w:ascii="Cambria" w:eastAsia="Times New Roman" w:hAnsi="Cambria" w:cs="Times New Roman"/>
        </w:rPr>
        <w:t>4</w:t>
      </w:r>
      <w:r w:rsidRPr="008870AE">
        <w:rPr>
          <w:rFonts w:ascii="Cambria" w:eastAsia="Times New Roman" w:hAnsi="Cambria" w:cs="Times New Roman"/>
          <w:color w:val="000000"/>
        </w:rPr>
        <w:t xml:space="preserve"> menunjukkan bahwa kondisi resesi melemahkan hubungan antara </w:t>
      </w:r>
      <w:r w:rsidRPr="008870AE">
        <w:rPr>
          <w:rFonts w:ascii="Cambria" w:eastAsia="Times New Roman" w:hAnsi="Cambria" w:cs="Times New Roman"/>
          <w:i/>
          <w:color w:val="000000"/>
        </w:rPr>
        <w:t>days of receivable</w:t>
      </w:r>
      <w:r w:rsidRPr="008870AE">
        <w:rPr>
          <w:rFonts w:ascii="Cambria" w:eastAsia="Times New Roman" w:hAnsi="Cambria" w:cs="Times New Roman"/>
          <w:color w:val="000000"/>
        </w:rPr>
        <w:t xml:space="preserve"> dengan </w:t>
      </w:r>
      <w:r w:rsidRPr="008870AE">
        <w:rPr>
          <w:rFonts w:ascii="Cambria" w:eastAsia="Times New Roman" w:hAnsi="Cambria" w:cs="Times New Roman"/>
          <w:i/>
          <w:color w:val="000000"/>
        </w:rPr>
        <w:t>return on assets</w:t>
      </w:r>
      <w:r w:rsidRPr="008870AE">
        <w:rPr>
          <w:rFonts w:ascii="Cambria" w:eastAsia="Times New Roman" w:hAnsi="Cambria" w:cs="Times New Roman"/>
          <w:color w:val="000000"/>
        </w:rPr>
        <w:t xml:space="preserve">, namun hubungan tersebut tidak signifikan, </w:t>
      </w:r>
      <w:proofErr w:type="gramStart"/>
      <w:r w:rsidRPr="008870AE">
        <w:rPr>
          <w:rFonts w:ascii="Cambria" w:eastAsia="Times New Roman" w:hAnsi="Cambria" w:cs="Times New Roman"/>
          <w:color w:val="000000"/>
        </w:rPr>
        <w:t>sehingga</w:t>
      </w:r>
      <w:proofErr w:type="gramEnd"/>
      <w:r w:rsidRPr="008870AE">
        <w:rPr>
          <w:rFonts w:ascii="Cambria" w:eastAsia="Times New Roman" w:hAnsi="Cambria" w:cs="Times New Roman"/>
          <w:color w:val="000000"/>
        </w:rPr>
        <w:t xml:space="preserve"> hipotesis H2b ditolak. Seperti yang telah dijelaskan sebelumnya, kondisi resesi menyebabkan penurunan daya beli masyarakat. Salah satu strategi yang dapat dijalankan oleh perusahaan untuk menghadapi kondisi tersebut adalah memperpanjang periode kredit penjualan untuk menarik minat konsumen. Namun, adanya keterbatasan akses kepada pendanaan eksternal saat resesi hanya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menimbulkan permasalahan likuiditas pada perusahaan (de Almeida dan Eid, 2014). Kondisi inilah yang menyebabkan resesi tidak memengaruhi hubungan antara periode piutang perusahaan di Asia Tenggara dan profitabilitasnya.</w:t>
      </w:r>
    </w:p>
    <w:p w:rsidR="006677F7" w:rsidRPr="008870AE" w:rsidRDefault="00111F5C" w:rsidP="006677F7">
      <w:pPr>
        <w:pStyle w:val="ListParagraph"/>
        <w:numPr>
          <w:ilvl w:val="0"/>
          <w:numId w:val="6"/>
        </w:numPr>
        <w:pBdr>
          <w:top w:val="nil"/>
          <w:left w:val="nil"/>
          <w:bottom w:val="nil"/>
          <w:right w:val="nil"/>
          <w:between w:val="nil"/>
        </w:pBdr>
        <w:spacing w:after="0" w:line="240" w:lineRule="auto"/>
        <w:ind w:left="709" w:hanging="709"/>
        <w:jc w:val="both"/>
        <w:rPr>
          <w:rFonts w:ascii="Cambria" w:eastAsia="Times New Roman" w:hAnsi="Cambria" w:cs="Times New Roman"/>
          <w:color w:val="000000"/>
        </w:rPr>
      </w:pPr>
      <w:r w:rsidRPr="008870AE">
        <w:rPr>
          <w:rFonts w:ascii="Cambria" w:eastAsia="Times New Roman" w:hAnsi="Cambria" w:cs="Times New Roman"/>
          <w:color w:val="000000"/>
        </w:rPr>
        <w:t>Kondisi Resesi Memperkuat Hubungan</w:t>
      </w:r>
      <w:r w:rsidRPr="008870AE">
        <w:rPr>
          <w:rFonts w:ascii="Cambria" w:eastAsia="Times New Roman" w:hAnsi="Cambria" w:cs="Times New Roman"/>
          <w:i/>
          <w:color w:val="000000"/>
        </w:rPr>
        <w:t xml:space="preserve"> Days of Receivable </w:t>
      </w:r>
      <w:r w:rsidRPr="008870AE">
        <w:rPr>
          <w:rFonts w:ascii="Cambria" w:eastAsia="Times New Roman" w:hAnsi="Cambria" w:cs="Times New Roman"/>
          <w:color w:val="000000"/>
        </w:rPr>
        <w:t>dan Profitabilitas</w:t>
      </w:r>
    </w:p>
    <w:p w:rsidR="00111F5C" w:rsidRPr="008870AE" w:rsidRDefault="00111F5C" w:rsidP="006677F7">
      <w:pPr>
        <w:pBdr>
          <w:top w:val="nil"/>
          <w:left w:val="nil"/>
          <w:bottom w:val="nil"/>
          <w:right w:val="nil"/>
          <w:between w:val="nil"/>
        </w:pBdr>
        <w:spacing w:after="0" w:line="240" w:lineRule="auto"/>
        <w:ind w:firstLine="426"/>
        <w:jc w:val="both"/>
        <w:rPr>
          <w:rFonts w:ascii="Cambria" w:eastAsia="Times New Roman" w:hAnsi="Cambria" w:cs="Times New Roman"/>
          <w:color w:val="000000"/>
        </w:rPr>
      </w:pPr>
      <w:r w:rsidRPr="008870AE">
        <w:rPr>
          <w:rFonts w:ascii="Cambria" w:eastAsia="Times New Roman" w:hAnsi="Cambria" w:cs="Times New Roman"/>
          <w:color w:val="000000"/>
        </w:rPr>
        <w:lastRenderedPageBreak/>
        <w:t xml:space="preserve">Hasil regresi (Tabel </w:t>
      </w:r>
      <w:r w:rsidRPr="008870AE">
        <w:rPr>
          <w:rFonts w:ascii="Cambria" w:eastAsia="Times New Roman" w:hAnsi="Cambria" w:cs="Times New Roman"/>
        </w:rPr>
        <w:t>4</w:t>
      </w:r>
      <w:r w:rsidRPr="008870AE">
        <w:rPr>
          <w:rFonts w:ascii="Cambria" w:eastAsia="Times New Roman" w:hAnsi="Cambria" w:cs="Times New Roman"/>
          <w:color w:val="000000"/>
        </w:rPr>
        <w:t xml:space="preserve">) juga menunjukkan bahwa kondisi resesi melemahkan hubungan antara </w:t>
      </w:r>
      <w:r w:rsidRPr="008870AE">
        <w:rPr>
          <w:rFonts w:ascii="Cambria" w:eastAsia="Times New Roman" w:hAnsi="Cambria" w:cs="Times New Roman"/>
          <w:i/>
          <w:color w:val="000000"/>
        </w:rPr>
        <w:t>days of payable</w:t>
      </w:r>
      <w:r w:rsidRPr="008870AE">
        <w:rPr>
          <w:rFonts w:ascii="Cambria" w:eastAsia="Times New Roman" w:hAnsi="Cambria" w:cs="Times New Roman"/>
          <w:color w:val="000000"/>
        </w:rPr>
        <w:t xml:space="preserve"> dan </w:t>
      </w:r>
      <w:r w:rsidRPr="008870AE">
        <w:rPr>
          <w:rFonts w:ascii="Cambria" w:eastAsia="Times New Roman" w:hAnsi="Cambria" w:cs="Times New Roman"/>
          <w:i/>
          <w:color w:val="000000"/>
        </w:rPr>
        <w:t xml:space="preserve">return on assets </w:t>
      </w:r>
      <w:r w:rsidRPr="008870AE">
        <w:rPr>
          <w:rFonts w:ascii="Cambria" w:eastAsia="Times New Roman" w:hAnsi="Cambria" w:cs="Times New Roman"/>
          <w:color w:val="000000"/>
        </w:rPr>
        <w:t xml:space="preserve">pada perusahaan di Asia Tenggara, maka hipotesis H2c ditolak. Sama seperti hubungan DOR dan ROA pada saat resesi, permintaan dan penjualan dari negara-negara di Asia Tenggara mengalami pelemahan saat resesi (Korajczyk &amp; Levy, 2003). Perpanjangan pembayaran utang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menjaga likuiditas, namun pemasok akan enggan untuk memberikan kelonggaran pelunasan utang saat resesi terjadi karena adanya keterbatasan akses pada pendaan eksternal (de Almeida dan Eid, 2014). Jika perusahaan terlalu lama melakukan pembayaran utang, tingkat kepercayaan pemasok kepada perusahaan juga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terancam. Diskon pembelian juga tidak dapat diandalkan untuk meningkatkan profit karena perusahaan perlu menjaga tingkat likuiditas dan </w:t>
      </w:r>
      <w:proofErr w:type="gramStart"/>
      <w:r w:rsidRPr="008870AE">
        <w:rPr>
          <w:rFonts w:ascii="Cambria" w:eastAsia="Times New Roman" w:hAnsi="Cambria" w:cs="Times New Roman"/>
          <w:color w:val="000000"/>
        </w:rPr>
        <w:t>akan</w:t>
      </w:r>
      <w:proofErr w:type="gramEnd"/>
      <w:r w:rsidRPr="008870AE">
        <w:rPr>
          <w:rFonts w:ascii="Cambria" w:eastAsia="Times New Roman" w:hAnsi="Cambria" w:cs="Times New Roman"/>
          <w:color w:val="000000"/>
        </w:rPr>
        <w:t xml:space="preserve"> enggan untuk melakukan percepatan pembayaran. Dengan kondisi ini, resesi tidak banyak memengaruhi hubungan antara DOP dengan profitabilitas dari perusahaan di Asia Tenggara.</w:t>
      </w:r>
    </w:p>
    <w:p w:rsidR="006677F7" w:rsidRPr="008870AE" w:rsidRDefault="006677F7" w:rsidP="006677F7">
      <w:pPr>
        <w:pBdr>
          <w:top w:val="nil"/>
          <w:left w:val="nil"/>
          <w:bottom w:val="nil"/>
          <w:right w:val="nil"/>
          <w:between w:val="nil"/>
        </w:pBdr>
        <w:spacing w:after="0" w:line="240" w:lineRule="auto"/>
        <w:ind w:firstLine="426"/>
        <w:jc w:val="both"/>
        <w:rPr>
          <w:rFonts w:ascii="Cambria" w:eastAsia="Times New Roman" w:hAnsi="Cambria" w:cs="Times New Roman"/>
          <w:color w:val="000000"/>
        </w:rPr>
      </w:pPr>
    </w:p>
    <w:p w:rsidR="006D7250" w:rsidRPr="008870AE" w:rsidRDefault="002C505F" w:rsidP="006D7250">
      <w:pPr>
        <w:pStyle w:val="ListParagraph"/>
        <w:numPr>
          <w:ilvl w:val="0"/>
          <w:numId w:val="1"/>
        </w:numPr>
        <w:spacing w:after="0" w:line="240" w:lineRule="auto"/>
        <w:ind w:left="426" w:hanging="426"/>
        <w:rPr>
          <w:rFonts w:ascii="Cambria" w:hAnsi="Cambria" w:cs="Times New Roman"/>
          <w:b/>
        </w:rPr>
      </w:pPr>
      <w:r w:rsidRPr="008870AE">
        <w:rPr>
          <w:rFonts w:ascii="Cambria" w:hAnsi="Cambria" w:cs="Times New Roman"/>
          <w:b/>
        </w:rPr>
        <w:t>SIMPULAN</w:t>
      </w:r>
    </w:p>
    <w:p w:rsidR="006D7250" w:rsidRPr="008870AE" w:rsidRDefault="006D7250" w:rsidP="006D7250">
      <w:pPr>
        <w:spacing w:line="240" w:lineRule="auto"/>
        <w:ind w:firstLine="426"/>
        <w:jc w:val="both"/>
        <w:rPr>
          <w:rFonts w:ascii="Cambria" w:hAnsi="Cambria" w:cs="Times New Roman"/>
          <w:b/>
        </w:rPr>
      </w:pPr>
      <w:r w:rsidRPr="008870AE">
        <w:rPr>
          <w:rFonts w:ascii="Cambria" w:eastAsia="Times New Roman" w:hAnsi="Cambria" w:cs="Times New Roman"/>
          <w:color w:val="000000"/>
        </w:rPr>
        <w:t xml:space="preserve">Penelitian ini dilakukan untuk mengetahui hubungan antara manajemen modal kerja dan profitabilitas serta pengaruh kondisi resesi terhadap hubungan kedua variable tersebut. Sampel yang digunakan dalam penelitian ini ialah perusahaan terbuka non-keuangan yang terdaftar pada bursa saham Filipina, Indonesia, Malaysia, Singapura, dan Thailand dengan periode observasi dari tahun 2000 hingga tahun 2016, dengan tahun 2008-2009 menunjukkan kondisi resesi. Hasil penelitian ini menemukan adanya hubungan positif antara </w:t>
      </w:r>
      <w:r w:rsidRPr="008870AE">
        <w:rPr>
          <w:rFonts w:ascii="Cambria" w:eastAsia="Times New Roman" w:hAnsi="Cambria" w:cs="Times New Roman"/>
          <w:i/>
          <w:color w:val="000000"/>
        </w:rPr>
        <w:t xml:space="preserve">cash conversion cycle, days of inventory, days of receivable, </w:t>
      </w:r>
      <w:r w:rsidRPr="008870AE">
        <w:rPr>
          <w:rFonts w:ascii="Cambria" w:eastAsia="Times New Roman" w:hAnsi="Cambria" w:cs="Times New Roman"/>
          <w:color w:val="000000"/>
        </w:rPr>
        <w:t xml:space="preserve">dan </w:t>
      </w:r>
      <w:r w:rsidRPr="008870AE">
        <w:rPr>
          <w:rFonts w:ascii="Cambria" w:eastAsia="Times New Roman" w:hAnsi="Cambria" w:cs="Times New Roman"/>
          <w:i/>
          <w:color w:val="000000"/>
        </w:rPr>
        <w:t>days of payable</w:t>
      </w:r>
      <w:r w:rsidRPr="008870AE">
        <w:rPr>
          <w:rFonts w:ascii="Cambria" w:eastAsia="Times New Roman" w:hAnsi="Cambria" w:cs="Times New Roman"/>
          <w:color w:val="000000"/>
        </w:rPr>
        <w:t xml:space="preserve"> terhadap </w:t>
      </w:r>
      <w:r w:rsidRPr="008870AE">
        <w:rPr>
          <w:rFonts w:ascii="Cambria" w:eastAsia="Times New Roman" w:hAnsi="Cambria" w:cs="Times New Roman"/>
          <w:i/>
          <w:color w:val="000000"/>
        </w:rPr>
        <w:t>return on assets</w:t>
      </w:r>
      <w:r w:rsidRPr="008870AE">
        <w:rPr>
          <w:rFonts w:ascii="Cambria" w:eastAsia="Times New Roman" w:hAnsi="Cambria" w:cs="Times New Roman"/>
          <w:color w:val="000000"/>
        </w:rPr>
        <w:t xml:space="preserve"> pada perusahaan terbuka di Asia Tenggara. Hasil ini menunjukkan bahwa perusahaan di wilayah Asia Tenggara memiliki karakteristik manajemen modal kerja yang konservatif. Penelitian ini juga menemukan bahwa kondisi resesi tidak memengaruhi hubungan antara </w:t>
      </w:r>
      <w:r w:rsidRPr="008870AE">
        <w:rPr>
          <w:rFonts w:ascii="Cambria" w:eastAsia="Times New Roman" w:hAnsi="Cambria" w:cs="Times New Roman"/>
          <w:i/>
          <w:color w:val="000000"/>
        </w:rPr>
        <w:t xml:space="preserve">cash conversion cycle, days of receivable, </w:t>
      </w:r>
      <w:r w:rsidRPr="008870AE">
        <w:rPr>
          <w:rFonts w:ascii="Cambria" w:eastAsia="Times New Roman" w:hAnsi="Cambria" w:cs="Times New Roman"/>
          <w:color w:val="000000"/>
        </w:rPr>
        <w:t xml:space="preserve">dan </w:t>
      </w:r>
      <w:r w:rsidRPr="008870AE">
        <w:rPr>
          <w:rFonts w:ascii="Cambria" w:eastAsia="Times New Roman" w:hAnsi="Cambria" w:cs="Times New Roman"/>
          <w:i/>
          <w:color w:val="000000"/>
        </w:rPr>
        <w:t>days of payable</w:t>
      </w:r>
      <w:r w:rsidRPr="008870AE">
        <w:rPr>
          <w:rFonts w:ascii="Cambria" w:eastAsia="Times New Roman" w:hAnsi="Cambria" w:cs="Times New Roman"/>
          <w:color w:val="000000"/>
        </w:rPr>
        <w:t xml:space="preserve"> terhadap </w:t>
      </w:r>
      <w:r w:rsidRPr="008870AE">
        <w:rPr>
          <w:rFonts w:ascii="Cambria" w:eastAsia="Times New Roman" w:hAnsi="Cambria" w:cs="Times New Roman"/>
          <w:i/>
          <w:color w:val="000000"/>
        </w:rPr>
        <w:t>return on assets</w:t>
      </w:r>
      <w:r w:rsidRPr="008870AE">
        <w:rPr>
          <w:rFonts w:ascii="Cambria" w:eastAsia="Times New Roman" w:hAnsi="Cambria" w:cs="Times New Roman"/>
          <w:color w:val="000000"/>
        </w:rPr>
        <w:t xml:space="preserve">. Di sisi lain, kondisi resesi sendiri memperkuat hubungan antara </w:t>
      </w:r>
      <w:r w:rsidRPr="008870AE">
        <w:rPr>
          <w:rFonts w:ascii="Cambria" w:eastAsia="Times New Roman" w:hAnsi="Cambria" w:cs="Times New Roman"/>
          <w:i/>
          <w:color w:val="000000"/>
        </w:rPr>
        <w:t xml:space="preserve">days of inventory </w:t>
      </w:r>
      <w:r w:rsidRPr="008870AE">
        <w:rPr>
          <w:rFonts w:ascii="Cambria" w:eastAsia="Times New Roman" w:hAnsi="Cambria" w:cs="Times New Roman"/>
          <w:color w:val="000000"/>
        </w:rPr>
        <w:t xml:space="preserve">dengan </w:t>
      </w:r>
      <w:r w:rsidRPr="008870AE">
        <w:rPr>
          <w:rFonts w:ascii="Cambria" w:eastAsia="Times New Roman" w:hAnsi="Cambria" w:cs="Times New Roman"/>
          <w:i/>
          <w:color w:val="000000"/>
        </w:rPr>
        <w:t>return on assets</w:t>
      </w:r>
      <w:r w:rsidRPr="008870AE">
        <w:rPr>
          <w:rFonts w:ascii="Cambria" w:eastAsia="Times New Roman" w:hAnsi="Cambria" w:cs="Times New Roman"/>
          <w:color w:val="000000"/>
        </w:rPr>
        <w:t xml:space="preserve">. </w:t>
      </w:r>
    </w:p>
    <w:p w:rsidR="006D7250" w:rsidRPr="008870AE" w:rsidRDefault="006D7250" w:rsidP="006D7250">
      <w:pPr>
        <w:spacing w:line="240" w:lineRule="auto"/>
        <w:ind w:firstLine="426"/>
        <w:jc w:val="both"/>
        <w:rPr>
          <w:rFonts w:ascii="Cambria" w:hAnsi="Cambria" w:cs="Times New Roman"/>
          <w:b/>
        </w:rPr>
      </w:pPr>
      <w:r w:rsidRPr="008870AE">
        <w:rPr>
          <w:rFonts w:ascii="Cambria" w:eastAsia="Times New Roman" w:hAnsi="Cambria" w:cs="Times New Roman"/>
          <w:color w:val="000000"/>
        </w:rPr>
        <w:t>Bagi perusahaan, hasil dari penelitian ini dapat menjadi bukti tentang pentingnya manajemen modal kerja. Perusahaan dapat meningkatkan profitabilitasnya dengan menjaga level modal kerja pada nilai yang optimal. Level optimal tersebut mencerminkan tingkat likuiditas yang perlu dimiliki oleh perusahan agar terbebas dari pendanaan eksternal dan memaksimalkan profitabilitas. Manajemen modal kerja juga dapat dilakukan dengan menentukan jangka waktu optimal untuk pelunasan piutang dan pembayaran utang. Selain itu, bagi investor, adanya hubungan yang signifikan antara modal kerja dan profitabilitas dapat digunakan sebagai bahan pertimbangan tambahan ketika investor hendak menentukan perusahaan yang diinvestasikan.</w:t>
      </w:r>
    </w:p>
    <w:p w:rsidR="002C505F" w:rsidRPr="008870AE" w:rsidRDefault="006D7250" w:rsidP="006D7250">
      <w:pPr>
        <w:spacing w:line="240" w:lineRule="auto"/>
        <w:ind w:firstLine="426"/>
        <w:jc w:val="both"/>
        <w:rPr>
          <w:rFonts w:ascii="Cambria" w:eastAsia="Times New Roman" w:hAnsi="Cambria" w:cs="Times New Roman"/>
        </w:rPr>
      </w:pPr>
      <w:r w:rsidRPr="008870AE">
        <w:rPr>
          <w:rFonts w:ascii="Cambria" w:eastAsia="Times New Roman" w:hAnsi="Cambria" w:cs="Times New Roman"/>
        </w:rPr>
        <w:t xml:space="preserve">Penelitian ini masih mengidentifikasi kondisi resesi berdasarkan tahun terjadinya. Namun, masing-masing negara di Asia Tenggara memiliki dampak kondisi resesi yang berbeda-beda. Oleh karena itu, pengkategorian berdasarkan tahun mungkin kurang tepat untuk digunakan. Pendekatan lain, seperti fluktuasi GDP, dapat digunakan sebagai variabel dalam mengidentifikasi periode resesi dari masing-masing negara. Selain itu, penelitian ini mengukur kinerja perusahaan dengan menggunakan ROA. Penelitian berikutnya dapat menggunakan pendekatan lain untuk mengukur kinerja dari perusahaan, seperti Tobins Q atau </w:t>
      </w:r>
      <w:r w:rsidRPr="008870AE">
        <w:rPr>
          <w:rFonts w:ascii="Cambria" w:eastAsia="Times New Roman" w:hAnsi="Cambria" w:cs="Times New Roman"/>
          <w:i/>
        </w:rPr>
        <w:t>price-to-book</w:t>
      </w:r>
      <w:r w:rsidRPr="008870AE">
        <w:rPr>
          <w:rFonts w:ascii="Cambria" w:eastAsia="Times New Roman" w:hAnsi="Cambria" w:cs="Times New Roman"/>
        </w:rPr>
        <w:t xml:space="preserve"> value.</w:t>
      </w:r>
    </w:p>
    <w:p w:rsidR="006D7250" w:rsidRPr="008870AE" w:rsidRDefault="006D7250" w:rsidP="006D7250">
      <w:pPr>
        <w:spacing w:line="240" w:lineRule="auto"/>
        <w:ind w:firstLine="426"/>
        <w:jc w:val="both"/>
        <w:rPr>
          <w:rFonts w:ascii="Cambria" w:hAnsi="Cambria" w:cs="Times New Roman"/>
          <w:b/>
        </w:rPr>
      </w:pPr>
    </w:p>
    <w:p w:rsidR="002C505F" w:rsidRPr="008870AE" w:rsidRDefault="002C505F" w:rsidP="009A3B13">
      <w:pPr>
        <w:spacing w:line="240" w:lineRule="auto"/>
        <w:rPr>
          <w:rFonts w:ascii="Cambria" w:hAnsi="Cambria" w:cs="Times New Roman"/>
          <w:b/>
        </w:rPr>
      </w:pPr>
      <w:r w:rsidRPr="008870AE">
        <w:rPr>
          <w:rFonts w:ascii="Cambria" w:hAnsi="Cambria" w:cs="Times New Roman"/>
          <w:b/>
        </w:rPr>
        <w:t>REFERENSI</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Abuzayed, B. (2012). Working capital management and firms’ performance in emerging markets: the case of Jordan. </w:t>
      </w:r>
      <w:r w:rsidRPr="008870AE">
        <w:rPr>
          <w:rFonts w:ascii="Cambria" w:eastAsia="Times New Roman" w:hAnsi="Cambria" w:cs="Times New Roman"/>
          <w:i/>
          <w:szCs w:val="20"/>
        </w:rPr>
        <w:t>International Journal of Managerial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8</w:t>
      </w:r>
      <w:r w:rsidRPr="008870AE">
        <w:rPr>
          <w:rFonts w:ascii="Cambria" w:eastAsia="Times New Roman" w:hAnsi="Cambria" w:cs="Times New Roman"/>
          <w:szCs w:val="20"/>
        </w:rPr>
        <w:t>(2), 155–179. https://doi.org/10.1108/17439131211216620</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lastRenderedPageBreak/>
        <w:t xml:space="preserve">Afrifa, G. A., &amp; Padachi, K. (2016). Working capital level influence on SME profitability. </w:t>
      </w:r>
      <w:r w:rsidRPr="008870AE">
        <w:rPr>
          <w:rFonts w:ascii="Cambria" w:eastAsia="Times New Roman" w:hAnsi="Cambria" w:cs="Times New Roman"/>
          <w:i/>
          <w:szCs w:val="20"/>
        </w:rPr>
        <w:t>Journal of Small Business and Enterprise Development</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23</w:t>
      </w:r>
      <w:r w:rsidRPr="008870AE">
        <w:rPr>
          <w:rFonts w:ascii="Cambria" w:eastAsia="Times New Roman" w:hAnsi="Cambria" w:cs="Times New Roman"/>
          <w:szCs w:val="20"/>
        </w:rPr>
        <w:t>(1), 44–63. https://doi.org/10.1108/JSBED-01-2014-0014</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Almwalla, M. (2012). The Impact of Working Capital Management Policies on Firm’s Profitability and Value: The Case of Jordan. </w:t>
      </w:r>
      <w:r w:rsidRPr="008870AE">
        <w:rPr>
          <w:rFonts w:ascii="Cambria" w:eastAsia="Times New Roman" w:hAnsi="Cambria" w:cs="Times New Roman"/>
          <w:i/>
          <w:szCs w:val="20"/>
        </w:rPr>
        <w:t>International Research Journal of Finance and Economics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03</w:t>
      </w:r>
      <w:r w:rsidRPr="008870AE">
        <w:rPr>
          <w:rFonts w:ascii="Cambria" w:eastAsia="Times New Roman" w:hAnsi="Cambria" w:cs="Times New Roman"/>
          <w:szCs w:val="20"/>
        </w:rPr>
        <w:t>.</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Amadeo, K. (2018, April 7). 5 Warning Signs of a Recession. Retrieved April 27, 2018, from https://www.thebalance.com/what-is-a-recession-3306019</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Appuhami, B. A. R. (2008). The Impact of Firms’ Capital Expenditure on Working Capital Management: An Empirical Study across Industries in Thailand. </w:t>
      </w:r>
      <w:r w:rsidRPr="008870AE">
        <w:rPr>
          <w:rFonts w:ascii="Cambria" w:eastAsia="Times New Roman" w:hAnsi="Cambria" w:cs="Times New Roman"/>
          <w:i/>
          <w:szCs w:val="20"/>
        </w:rPr>
        <w:t>International Management Review; Marietta</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4</w:t>
      </w:r>
      <w:r w:rsidRPr="008870AE">
        <w:rPr>
          <w:rFonts w:ascii="Cambria" w:eastAsia="Times New Roman" w:hAnsi="Cambria" w:cs="Times New Roman"/>
          <w:szCs w:val="20"/>
        </w:rPr>
        <w:t>(1), 8–21.</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Baker, S. R., Bloom, N., &amp; Davis, S. J. (2016). Measuring Economic Policy Uncertainty. </w:t>
      </w:r>
      <w:r w:rsidRPr="008870AE">
        <w:rPr>
          <w:rFonts w:ascii="Cambria" w:eastAsia="Times New Roman" w:hAnsi="Cambria" w:cs="Times New Roman"/>
          <w:i/>
          <w:szCs w:val="20"/>
        </w:rPr>
        <w:t>The Quarterly Journal of Economics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131</w:t>
      </w:r>
      <w:r w:rsidRPr="008870AE">
        <w:rPr>
          <w:rFonts w:ascii="Cambria" w:eastAsia="Times New Roman" w:hAnsi="Cambria" w:cs="Times New Roman"/>
          <w:szCs w:val="20"/>
        </w:rPr>
        <w:t>(4), 1593–1636. https://doi.org/10.1093/qje/qjw024</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Brigham, E. F., &amp; Houston, J. F. (2012). </w:t>
      </w:r>
      <w:r w:rsidRPr="008870AE">
        <w:rPr>
          <w:rFonts w:ascii="Cambria" w:eastAsia="Times New Roman" w:hAnsi="Cambria" w:cs="Times New Roman"/>
          <w:i/>
          <w:szCs w:val="20"/>
        </w:rPr>
        <w:t>Fundamentals of Financial Management, Concise Edition</w:t>
      </w:r>
      <w:r w:rsidRPr="008870AE">
        <w:rPr>
          <w:rFonts w:ascii="Cambria" w:eastAsia="Times New Roman" w:hAnsi="Cambria" w:cs="Times New Roman"/>
          <w:szCs w:val="20"/>
        </w:rPr>
        <w:t>. Cengage Learning.</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Caballero, S., Teruel, P. J., &amp; Solano, P. (2014). Working capital management, corporate performance, and financial constraints. </w:t>
      </w:r>
      <w:r w:rsidRPr="008870AE">
        <w:rPr>
          <w:rFonts w:ascii="Cambria" w:eastAsia="Times New Roman" w:hAnsi="Cambria" w:cs="Times New Roman"/>
          <w:i/>
          <w:szCs w:val="20"/>
        </w:rPr>
        <w:t>Journal of Business Research</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67</w:t>
      </w:r>
      <w:r w:rsidRPr="008870AE">
        <w:rPr>
          <w:rFonts w:ascii="Cambria" w:eastAsia="Times New Roman" w:hAnsi="Cambria" w:cs="Times New Roman"/>
          <w:szCs w:val="20"/>
        </w:rPr>
        <w:t>(3), 332–338. https://doi.org/10.1016/j.jbusres.2013.01.016</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Carpenter, R. E., Fazzari, S. M., Petersen, B. C., Kashyap, A. K., &amp; Friedman, B. M. (1994). Inventory Investment, Internal-Finance Fluctuations, and the Business Cycle. </w:t>
      </w:r>
      <w:r w:rsidRPr="008870AE">
        <w:rPr>
          <w:rFonts w:ascii="Cambria" w:eastAsia="Times New Roman" w:hAnsi="Cambria" w:cs="Times New Roman"/>
          <w:i/>
          <w:szCs w:val="20"/>
        </w:rPr>
        <w:t>Brookings Papers on Economic Activity</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1994</w:t>
      </w:r>
      <w:r w:rsidRPr="008870AE">
        <w:rPr>
          <w:rFonts w:ascii="Cambria" w:eastAsia="Times New Roman" w:hAnsi="Cambria" w:cs="Times New Roman"/>
          <w:szCs w:val="20"/>
        </w:rPr>
        <w:t>(2), 75–138. https://doi.org/10.2307/2534655</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Catik &amp; Onder. (2009). </w:t>
      </w:r>
      <w:proofErr w:type="gramStart"/>
      <w:r w:rsidRPr="008870AE">
        <w:rPr>
          <w:rFonts w:ascii="Cambria" w:eastAsia="Times New Roman" w:hAnsi="Cambria" w:cs="Times New Roman"/>
          <w:szCs w:val="20"/>
        </w:rPr>
        <w:t>The</w:t>
      </w:r>
      <w:proofErr w:type="gramEnd"/>
      <w:r w:rsidRPr="008870AE">
        <w:rPr>
          <w:rFonts w:ascii="Cambria" w:eastAsia="Times New Roman" w:hAnsi="Cambria" w:cs="Times New Roman"/>
          <w:szCs w:val="20"/>
        </w:rPr>
        <w:t xml:space="preserve"> Distribution Analysis of the Inflation Components of Turkey. </w:t>
      </w:r>
      <w:r w:rsidRPr="008870AE">
        <w:rPr>
          <w:rFonts w:ascii="Cambria" w:eastAsia="Times New Roman" w:hAnsi="Cambria" w:cs="Times New Roman"/>
          <w:i/>
          <w:szCs w:val="20"/>
        </w:rPr>
        <w:t>Working Papers 0902, Ege University, Department of Economics</w:t>
      </w:r>
      <w:r w:rsidRPr="008870AE">
        <w:rPr>
          <w:rFonts w:ascii="Cambria" w:eastAsia="Times New Roman" w:hAnsi="Cambria" w:cs="Times New Roman"/>
          <w:szCs w:val="20"/>
        </w:rPr>
        <w:t>.</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Charitou, M., Lois, P., &amp; Santoso, H. B. (2012). The Relationship </w:t>
      </w:r>
      <w:proofErr w:type="gramStart"/>
      <w:r w:rsidRPr="008870AE">
        <w:rPr>
          <w:rFonts w:ascii="Cambria" w:eastAsia="Times New Roman" w:hAnsi="Cambria" w:cs="Times New Roman"/>
          <w:szCs w:val="20"/>
        </w:rPr>
        <w:t>Between</w:t>
      </w:r>
      <w:proofErr w:type="gramEnd"/>
      <w:r w:rsidRPr="008870AE">
        <w:rPr>
          <w:rFonts w:ascii="Cambria" w:eastAsia="Times New Roman" w:hAnsi="Cambria" w:cs="Times New Roman"/>
          <w:szCs w:val="20"/>
        </w:rPr>
        <w:t xml:space="preserve"> Working Capital Management And Firms Profitability: An Empirical Investigation For An Emerging Asian Country. </w:t>
      </w:r>
      <w:r w:rsidRPr="008870AE">
        <w:rPr>
          <w:rFonts w:ascii="Cambria" w:eastAsia="Times New Roman" w:hAnsi="Cambria" w:cs="Times New Roman"/>
          <w:i/>
          <w:szCs w:val="20"/>
        </w:rPr>
        <w:t>International Business &amp; Economics Research Journal (IBER)</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11</w:t>
      </w:r>
      <w:r w:rsidRPr="008870AE">
        <w:rPr>
          <w:rFonts w:ascii="Cambria" w:eastAsia="Times New Roman" w:hAnsi="Cambria" w:cs="Times New Roman"/>
          <w:szCs w:val="20"/>
        </w:rPr>
        <w:t>(8), 839. https://doi.org/10.19030/iber.v11i8.7162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Cheok, M. (2017, August 7). How Southeast Asia emerged as global growth leader in 50 years. Retrieved April 25, 2018, from https://economictimes. indiatimes.com/markets/stocks/news/how-southeast-asia-emerged-as-global-growth-leader-in-50-years/articleshow/59948868.cms</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Claessens, S., &amp; Kose, M. (2009, March). What is a recession? Retrieved May 7, 2018, http://www.imf.org/external/pubs/ft/fandd/2009/03/basics.htm</w:t>
      </w:r>
    </w:p>
    <w:p w:rsidR="0073417F" w:rsidRPr="008870AE" w:rsidRDefault="0073417F" w:rsidP="0073417F">
      <w:pPr>
        <w:spacing w:after="0" w:line="240" w:lineRule="auto"/>
        <w:ind w:left="426" w:hanging="440"/>
        <w:jc w:val="both"/>
        <w:rPr>
          <w:rFonts w:ascii="Cambria" w:eastAsia="Times New Roman" w:hAnsi="Cambria" w:cs="Times New Roman"/>
          <w:szCs w:val="20"/>
        </w:rPr>
      </w:pPr>
      <w:proofErr w:type="gramStart"/>
      <w:r w:rsidRPr="008870AE">
        <w:rPr>
          <w:rFonts w:ascii="Cambria" w:eastAsia="Times New Roman" w:hAnsi="Cambria" w:cs="Times New Roman"/>
          <w:szCs w:val="20"/>
        </w:rPr>
        <w:t>de</w:t>
      </w:r>
      <w:proofErr w:type="gramEnd"/>
      <w:r w:rsidRPr="008870AE">
        <w:rPr>
          <w:rFonts w:ascii="Cambria" w:eastAsia="Times New Roman" w:hAnsi="Cambria" w:cs="Times New Roman"/>
          <w:szCs w:val="20"/>
        </w:rPr>
        <w:t xml:space="preserve"> Almeida, J. R., &amp; Eid, W. (2014). Access to finance, working capital management and company value: Evidences from Brazilian companies listed on BM&amp;FBOVESPA. </w:t>
      </w:r>
      <w:r w:rsidRPr="008870AE">
        <w:rPr>
          <w:rFonts w:ascii="Cambria" w:eastAsia="Times New Roman" w:hAnsi="Cambria" w:cs="Times New Roman"/>
          <w:i/>
          <w:szCs w:val="20"/>
        </w:rPr>
        <w:t>Journal of Business Research</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67</w:t>
      </w:r>
      <w:r w:rsidRPr="008870AE">
        <w:rPr>
          <w:rFonts w:ascii="Cambria" w:eastAsia="Times New Roman" w:hAnsi="Cambria" w:cs="Times New Roman"/>
          <w:szCs w:val="20"/>
        </w:rPr>
        <w:t>(5), 924–934. https://doi.org/10.1016/j.jbusres.2013.07.012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Deloof, M., &amp; Jegers, M. (1996). Trade Credit, Product Quality, and Intragroup Trade: Some European Evidence. </w:t>
      </w:r>
      <w:r w:rsidRPr="008870AE">
        <w:rPr>
          <w:rFonts w:ascii="Cambria" w:eastAsia="Times New Roman" w:hAnsi="Cambria" w:cs="Times New Roman"/>
          <w:i/>
          <w:szCs w:val="20"/>
        </w:rPr>
        <w:t>Financial Management</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25</w:t>
      </w:r>
      <w:r w:rsidRPr="008870AE">
        <w:rPr>
          <w:rFonts w:ascii="Cambria" w:eastAsia="Times New Roman" w:hAnsi="Cambria" w:cs="Times New Roman"/>
          <w:szCs w:val="20"/>
        </w:rPr>
        <w:t>(3), 33. https://doi.org/10.2307/3665806</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Deloof, M. (2003). Does Working Capital Management Affect Profitability of Belgian Firms</w:t>
      </w:r>
      <w:proofErr w:type="gramStart"/>
      <w:r w:rsidRPr="008870AE">
        <w:rPr>
          <w:rFonts w:ascii="Cambria" w:eastAsia="Times New Roman" w:hAnsi="Cambria" w:cs="Times New Roman"/>
          <w:szCs w:val="20"/>
        </w:rPr>
        <w:t>? .</w:t>
      </w:r>
      <w:proofErr w:type="gramEnd"/>
      <w:r w:rsidRPr="008870AE">
        <w:rPr>
          <w:rFonts w:ascii="Cambria" w:eastAsia="Times New Roman" w:hAnsi="Cambria" w:cs="Times New Roman"/>
          <w:szCs w:val="20"/>
        </w:rPr>
        <w:t xml:space="preserve"> </w:t>
      </w:r>
      <w:r w:rsidRPr="008870AE">
        <w:rPr>
          <w:rFonts w:ascii="Cambria" w:eastAsia="Times New Roman" w:hAnsi="Cambria" w:cs="Times New Roman"/>
          <w:i/>
          <w:szCs w:val="20"/>
        </w:rPr>
        <w:t>J. Business Finance Acc 30 (4), 573-587</w:t>
      </w:r>
      <w:r w:rsidRPr="008870AE">
        <w:rPr>
          <w:rFonts w:ascii="Cambria" w:eastAsia="Times New Roman" w:hAnsi="Cambria" w:cs="Times New Roman"/>
          <w:szCs w:val="20"/>
        </w:rPr>
        <w:t>.</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Dewi, L.S., Budiartha, I.K, &amp; Suputra, D. I. D. G. (2017). Kebijakan Dividen Sebagai Variabel Moderasi Pengaruh Tax, Leverage, dan Firm Size pada Earning Management. </w:t>
      </w:r>
      <w:r w:rsidRPr="008870AE">
        <w:rPr>
          <w:rFonts w:ascii="Cambria" w:eastAsia="Times New Roman" w:hAnsi="Cambria" w:cs="Times New Roman"/>
          <w:i/>
          <w:szCs w:val="20"/>
        </w:rPr>
        <w:t xml:space="preserve"> E-Jurnal Ekonomi dan Bisnis Universitas Udayana</w:t>
      </w:r>
      <w:r w:rsidRPr="008870AE">
        <w:rPr>
          <w:rFonts w:ascii="Cambria" w:eastAsia="Times New Roman" w:hAnsi="Cambria" w:cs="Times New Roman"/>
          <w:szCs w:val="20"/>
        </w:rPr>
        <w:t>, 277-302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Duggal, R., &amp; Budden, M. (2012). The Effects </w:t>
      </w:r>
      <w:proofErr w:type="gramStart"/>
      <w:r w:rsidRPr="008870AE">
        <w:rPr>
          <w:rFonts w:ascii="Cambria" w:eastAsia="Times New Roman" w:hAnsi="Cambria" w:cs="Times New Roman"/>
          <w:szCs w:val="20"/>
        </w:rPr>
        <w:t>Of</w:t>
      </w:r>
      <w:proofErr w:type="gramEnd"/>
      <w:r w:rsidRPr="008870AE">
        <w:rPr>
          <w:rFonts w:ascii="Cambria" w:eastAsia="Times New Roman" w:hAnsi="Cambria" w:cs="Times New Roman"/>
          <w:szCs w:val="20"/>
        </w:rPr>
        <w:t xml:space="preserve"> The Great Recession On Corporate Working Capital Management Practices. </w:t>
      </w:r>
      <w:r w:rsidRPr="008870AE">
        <w:rPr>
          <w:rFonts w:ascii="Cambria" w:eastAsia="Times New Roman" w:hAnsi="Cambria" w:cs="Times New Roman"/>
          <w:i/>
          <w:szCs w:val="20"/>
        </w:rPr>
        <w:t>International Business &amp; Economics Research Journal (IBER)</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11</w:t>
      </w:r>
      <w:r w:rsidRPr="008870AE">
        <w:rPr>
          <w:rFonts w:ascii="Cambria" w:eastAsia="Times New Roman" w:hAnsi="Cambria" w:cs="Times New Roman"/>
          <w:szCs w:val="20"/>
        </w:rPr>
        <w:t>. https://doi.org/10.19030/ iber.v11i7.7062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Enqvist, J., Graham, M., &amp; Nikkinen, J. (2014). The impact of working capital management on firm profitability in different business cycles: Evidence from Finland. </w:t>
      </w:r>
      <w:r w:rsidRPr="008870AE">
        <w:rPr>
          <w:rFonts w:ascii="Cambria" w:eastAsia="Times New Roman" w:hAnsi="Cambria" w:cs="Times New Roman"/>
          <w:i/>
          <w:szCs w:val="20"/>
        </w:rPr>
        <w:t>Research in International Business and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32</w:t>
      </w:r>
      <w:r w:rsidRPr="008870AE">
        <w:rPr>
          <w:rFonts w:ascii="Cambria" w:eastAsia="Times New Roman" w:hAnsi="Cambria" w:cs="Times New Roman"/>
          <w:szCs w:val="20"/>
        </w:rPr>
        <w:t>, 36–49. https://doi.org/10.1016/j.ribaf.2014.03.005</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Faulkender, M., &amp; Wang, R. (2006). Corporate Financial Policy and the Value of Cash. </w:t>
      </w:r>
      <w:r w:rsidRPr="008870AE">
        <w:rPr>
          <w:rFonts w:ascii="Cambria" w:eastAsia="Times New Roman" w:hAnsi="Cambria" w:cs="Times New Roman"/>
          <w:i/>
          <w:szCs w:val="20"/>
        </w:rPr>
        <w:t>The Journal of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61</w:t>
      </w:r>
      <w:r w:rsidRPr="008870AE">
        <w:rPr>
          <w:rFonts w:ascii="Cambria" w:eastAsia="Times New Roman" w:hAnsi="Cambria" w:cs="Times New Roman"/>
          <w:szCs w:val="20"/>
        </w:rPr>
        <w:t>(4), 1957–1990. https://doi.org/10.1111/j.1540-6261.2006.00894.x</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lastRenderedPageBreak/>
        <w:t>Ghozali, Imam. (2011). Aplikasi Analisis Multivariate Dengan Program IBM. SPSS 19 (edisi kelima) Semarang: Badan Penerbit Universitas Diponegoro.</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Ghozali, I. (2013). </w:t>
      </w:r>
      <w:r w:rsidRPr="008870AE">
        <w:rPr>
          <w:rFonts w:ascii="Cambria" w:eastAsia="Times New Roman" w:hAnsi="Cambria" w:cs="Times New Roman"/>
          <w:i/>
          <w:szCs w:val="20"/>
        </w:rPr>
        <w:t>Aplikasi Analisis Multivariate Dengan Program IBM SPSS 21 Update PLS Regresi</w:t>
      </w:r>
      <w:r w:rsidRPr="008870AE">
        <w:rPr>
          <w:rFonts w:ascii="Cambria" w:eastAsia="Times New Roman" w:hAnsi="Cambria" w:cs="Times New Roman"/>
          <w:szCs w:val="20"/>
        </w:rPr>
        <w:t>.</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Gill, A., Bigger, N. and Mathur, N. (2010), “The relationship between working capital management and profitability: evidence from the United States”, </w:t>
      </w:r>
      <w:r w:rsidRPr="008870AE">
        <w:rPr>
          <w:rFonts w:ascii="Cambria" w:eastAsia="Times New Roman" w:hAnsi="Cambria" w:cs="Times New Roman"/>
          <w:i/>
          <w:szCs w:val="20"/>
        </w:rPr>
        <w:t>Business and Economic Journal, Vol. 2010 Academic OneFile</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Gray, D., &amp; Jobst, A. (2010). New Directions in Financial Sector and Sovereign Risk Management. </w:t>
      </w:r>
      <w:r w:rsidRPr="008870AE">
        <w:rPr>
          <w:rFonts w:ascii="Cambria" w:eastAsia="Times New Roman" w:hAnsi="Cambria" w:cs="Times New Roman"/>
          <w:i/>
          <w:szCs w:val="20"/>
        </w:rPr>
        <w:t>Journal of Investment Management</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8</w:t>
      </w:r>
      <w:r w:rsidRPr="008870AE">
        <w:rPr>
          <w:rFonts w:ascii="Cambria" w:eastAsia="Times New Roman" w:hAnsi="Cambria" w:cs="Times New Roman"/>
          <w:szCs w:val="20"/>
        </w:rPr>
        <w:t>.</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Gujarati, D. N., &amp; Porter, D. C. (2009). </w:t>
      </w:r>
      <w:r w:rsidRPr="008870AE">
        <w:rPr>
          <w:rFonts w:ascii="Cambria" w:eastAsia="Times New Roman" w:hAnsi="Cambria" w:cs="Times New Roman"/>
          <w:i/>
          <w:szCs w:val="20"/>
        </w:rPr>
        <w:t>Basic econometrics</w:t>
      </w:r>
      <w:r w:rsidRPr="008870AE">
        <w:rPr>
          <w:rFonts w:ascii="Cambria" w:eastAsia="Times New Roman" w:hAnsi="Cambria" w:cs="Times New Roman"/>
          <w:szCs w:val="20"/>
        </w:rPr>
        <w:t xml:space="preserve"> (5. </w:t>
      </w:r>
      <w:proofErr w:type="gramStart"/>
      <w:r w:rsidRPr="008870AE">
        <w:rPr>
          <w:rFonts w:ascii="Cambria" w:eastAsia="Times New Roman" w:hAnsi="Cambria" w:cs="Times New Roman"/>
          <w:szCs w:val="20"/>
        </w:rPr>
        <w:t>ed</w:t>
      </w:r>
      <w:proofErr w:type="gramEnd"/>
      <w:r w:rsidRPr="008870AE">
        <w:rPr>
          <w:rFonts w:ascii="Cambria" w:eastAsia="Times New Roman" w:hAnsi="Cambria" w:cs="Times New Roman"/>
          <w:szCs w:val="20"/>
        </w:rPr>
        <w:t>). Boston, Mass.: McGraw-Hill Irwin.</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Hager, H. C. (1976). Cash management and the cash cycle. </w:t>
      </w:r>
      <w:r w:rsidRPr="008870AE">
        <w:rPr>
          <w:rFonts w:ascii="Cambria" w:eastAsia="Times New Roman" w:hAnsi="Cambria" w:cs="Times New Roman"/>
          <w:i/>
          <w:szCs w:val="20"/>
        </w:rPr>
        <w:t>Management Accounting</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57</w:t>
      </w:r>
      <w:r w:rsidRPr="008870AE">
        <w:rPr>
          <w:rFonts w:ascii="Cambria" w:eastAsia="Times New Roman" w:hAnsi="Cambria" w:cs="Times New Roman"/>
          <w:szCs w:val="20"/>
        </w:rPr>
        <w:t>(9), 19–21.</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Haq, I. ul, Sohail, M., Zaman, K., &amp; Alam, Z. (2011). The relationship between working capital management and profitability: a case study of cement industry in Pakistan. </w:t>
      </w:r>
      <w:r w:rsidRPr="008870AE">
        <w:rPr>
          <w:rFonts w:ascii="Cambria" w:eastAsia="Times New Roman" w:hAnsi="Cambria" w:cs="Times New Roman"/>
          <w:i/>
          <w:szCs w:val="20"/>
        </w:rPr>
        <w:t>Mediterranean Journal of Social Sciences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2</w:t>
      </w:r>
      <w:r w:rsidRPr="008870AE">
        <w:rPr>
          <w:rFonts w:ascii="Cambria" w:eastAsia="Times New Roman" w:hAnsi="Cambria" w:cs="Times New Roman"/>
          <w:szCs w:val="20"/>
        </w:rPr>
        <w:t>(2), 365–372.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Haron, R., &amp; Nomran, N. M. (2016). Determinants of working capital management before, during, and after the global financial crisis of 2008: Evidence from Malaysia. </w:t>
      </w:r>
      <w:r w:rsidRPr="008870AE">
        <w:rPr>
          <w:rFonts w:ascii="Cambria" w:eastAsia="Times New Roman" w:hAnsi="Cambria" w:cs="Times New Roman"/>
          <w:i/>
          <w:szCs w:val="20"/>
        </w:rPr>
        <w:t>The Journal of Developing Areas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50</w:t>
      </w:r>
      <w:r w:rsidRPr="008870AE">
        <w:rPr>
          <w:rFonts w:ascii="Cambria" w:eastAsia="Times New Roman" w:hAnsi="Cambria" w:cs="Times New Roman"/>
          <w:szCs w:val="20"/>
        </w:rPr>
        <w:t>(5), 461–468. https://doi.org/10.1353/jda.2016.0029</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Hoechle, D. (2007). Robust Standard Errors for Panel Regressions with Cross-Sectional Dependence.</w:t>
      </w:r>
      <w:hyperlink r:id="rId6">
        <w:r w:rsidRPr="008870AE">
          <w:rPr>
            <w:rFonts w:ascii="Cambria" w:eastAsia="Times New Roman" w:hAnsi="Cambria" w:cs="Times New Roman"/>
            <w:szCs w:val="20"/>
          </w:rPr>
          <w:t xml:space="preserve"> </w:t>
        </w:r>
      </w:hyperlink>
      <w:hyperlink r:id="rId7">
        <w:r w:rsidRPr="008870AE">
          <w:rPr>
            <w:rFonts w:ascii="Cambria" w:eastAsia="Times New Roman" w:hAnsi="Cambria" w:cs="Times New Roman"/>
            <w:color w:val="1155CC"/>
            <w:szCs w:val="20"/>
            <w:u w:val="single"/>
          </w:rPr>
          <w:t>http://feb.kuleuven.be/public/n12111/xtscc_paper</w:t>
        </w:r>
      </w:hyperlink>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Hong, K., Lee, J.-W., &amp; Tang, H. C. (2010). Crises in Asia: Historical perspectives and implications. </w:t>
      </w:r>
      <w:r w:rsidRPr="008870AE">
        <w:rPr>
          <w:rFonts w:ascii="Cambria" w:eastAsia="Times New Roman" w:hAnsi="Cambria" w:cs="Times New Roman"/>
          <w:i/>
          <w:szCs w:val="20"/>
        </w:rPr>
        <w:t>Journal of Asian Economics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21</w:t>
      </w:r>
      <w:r w:rsidRPr="008870AE">
        <w:rPr>
          <w:rFonts w:ascii="Cambria" w:eastAsia="Times New Roman" w:hAnsi="Cambria" w:cs="Times New Roman"/>
          <w:szCs w:val="20"/>
        </w:rPr>
        <w:t>(3), 265–279. https://doi.org/10.1016/j.asieco.2009.07.006</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HV, V., Thompson, F., &amp; Tonby, O. (2014). Understanding ASEAN: Seven things you need to know | McKinsey &amp; Company. Retrieved April 25, 2018, from https://www.mckinsey.com/industries/public-sector/our-insights/understanding-asean-seven-things-you-need-to-know</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Irwadi, M., &amp; Choiruddin, S. (2015). Analisis Pengaruh Manajemen Modal Kerja dan Likuiditas Terhadap Profitabilitas pada Perusahaan yang Terdaftar di Bursa Efek Indonesia Periode : 2009-2013. Retrieved from http://www.academia.edu/15602007/analisis_pengaruh_manajemen_modal_kerja_dan_likuiditas_terhadap_profitabilitas_pada_perusahaan_yang_terdaftar_di_bursa_efek_indonesia_periode_2009-2013</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Johnson, R., &amp; Soenen, L. (2003). Indicators of Successful Companies. </w:t>
      </w:r>
      <w:r w:rsidRPr="008870AE">
        <w:rPr>
          <w:rFonts w:ascii="Cambria" w:eastAsia="Times New Roman" w:hAnsi="Cambria" w:cs="Times New Roman"/>
          <w:i/>
          <w:szCs w:val="20"/>
        </w:rPr>
        <w:t>European Management Journal</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21</w:t>
      </w:r>
      <w:r w:rsidRPr="008870AE">
        <w:rPr>
          <w:rFonts w:ascii="Cambria" w:eastAsia="Times New Roman" w:hAnsi="Cambria" w:cs="Times New Roman"/>
          <w:szCs w:val="20"/>
        </w:rPr>
        <w:t>(3), 364–369. https://doi.org/10.1016/S0263-</w:t>
      </w:r>
      <w:proofErr w:type="gramStart"/>
      <w:r w:rsidRPr="008870AE">
        <w:rPr>
          <w:rFonts w:ascii="Cambria" w:eastAsia="Times New Roman" w:hAnsi="Cambria" w:cs="Times New Roman"/>
          <w:szCs w:val="20"/>
        </w:rPr>
        <w:t>2373(</w:t>
      </w:r>
      <w:proofErr w:type="gramEnd"/>
      <w:r w:rsidRPr="008870AE">
        <w:rPr>
          <w:rFonts w:ascii="Cambria" w:eastAsia="Times New Roman" w:hAnsi="Cambria" w:cs="Times New Roman"/>
          <w:szCs w:val="20"/>
        </w:rPr>
        <w:t>03)00050-1</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Kautsari, K. B. (2013). Pengaruh Manajemen Modal Kerja Terhadap Profitabilitas Perusahaan pada Perusahaan Rokok yang Terdaftar di Bursa Efek Indonesia, 14.</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Keat, H. S. (2009). The Global Financial Crisis: Impact on Asia and Policy Challenges Ahead. </w:t>
      </w:r>
      <w:r w:rsidRPr="008870AE">
        <w:rPr>
          <w:rFonts w:ascii="Cambria" w:eastAsia="Times New Roman" w:hAnsi="Cambria" w:cs="Times New Roman"/>
          <w:i/>
          <w:szCs w:val="20"/>
        </w:rPr>
        <w:t xml:space="preserve">Economic Resesarch, </w:t>
      </w:r>
      <w:r w:rsidRPr="008870AE">
        <w:rPr>
          <w:rFonts w:ascii="Cambria" w:eastAsia="Times New Roman" w:hAnsi="Cambria" w:cs="Times New Roman"/>
          <w:szCs w:val="20"/>
        </w:rPr>
        <w:t>267-276</w:t>
      </w:r>
    </w:p>
    <w:p w:rsidR="0073417F" w:rsidRPr="008870AE" w:rsidRDefault="0073417F" w:rsidP="0073417F">
      <w:pPr>
        <w:spacing w:after="0" w:line="240" w:lineRule="auto"/>
        <w:ind w:left="426" w:hanging="440"/>
        <w:jc w:val="both"/>
        <w:rPr>
          <w:rFonts w:ascii="Cambria" w:eastAsia="Times New Roman" w:hAnsi="Cambria" w:cs="Times New Roman"/>
          <w:szCs w:val="20"/>
          <w:u w:val="single"/>
        </w:rPr>
      </w:pPr>
      <w:r w:rsidRPr="008870AE">
        <w:rPr>
          <w:rFonts w:ascii="Cambria" w:eastAsia="Times New Roman" w:hAnsi="Cambria" w:cs="Times New Roman"/>
          <w:szCs w:val="20"/>
        </w:rPr>
        <w:t xml:space="preserve">Korajczyk, R. A., &amp; Levy, A. (2003). Capital structure choice: macroeconomic conditions and financial constraints. </w:t>
      </w:r>
      <w:r w:rsidRPr="008870AE">
        <w:rPr>
          <w:rFonts w:ascii="Cambria" w:eastAsia="Times New Roman" w:hAnsi="Cambria" w:cs="Times New Roman"/>
          <w:i/>
          <w:szCs w:val="20"/>
        </w:rPr>
        <w:t>Journal of Financial Economics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68</w:t>
      </w:r>
      <w:r w:rsidRPr="008870AE">
        <w:rPr>
          <w:rFonts w:ascii="Cambria" w:eastAsia="Times New Roman" w:hAnsi="Cambria" w:cs="Times New Roman"/>
          <w:szCs w:val="20"/>
        </w:rPr>
        <w:t>(1), 75–109.</w:t>
      </w:r>
      <w:hyperlink r:id="rId8">
        <w:r w:rsidRPr="008870AE">
          <w:rPr>
            <w:rFonts w:ascii="Cambria" w:eastAsia="Times New Roman" w:hAnsi="Cambria" w:cs="Times New Roman"/>
            <w:szCs w:val="20"/>
          </w:rPr>
          <w:t xml:space="preserve"> </w:t>
        </w:r>
      </w:hyperlink>
      <w:r w:rsidRPr="008870AE">
        <w:rPr>
          <w:rFonts w:ascii="Cambria" w:hAnsi="Cambria"/>
          <w:sz w:val="24"/>
        </w:rPr>
        <w:fldChar w:fldCharType="begin"/>
      </w:r>
      <w:r w:rsidRPr="008870AE">
        <w:rPr>
          <w:rFonts w:ascii="Cambria" w:hAnsi="Cambria"/>
          <w:sz w:val="24"/>
        </w:rPr>
        <w:instrText xml:space="preserve"> HYPERLINK "https://doi.org/10.1016/S0304-405X(02)00249-0" </w:instrText>
      </w:r>
      <w:r w:rsidRPr="008870AE">
        <w:rPr>
          <w:rFonts w:ascii="Cambria" w:hAnsi="Cambria"/>
          <w:sz w:val="24"/>
        </w:rPr>
        <w:fldChar w:fldCharType="separate"/>
      </w:r>
      <w:r w:rsidRPr="008870AE">
        <w:rPr>
          <w:rFonts w:ascii="Cambria" w:eastAsia="Times New Roman" w:hAnsi="Cambria" w:cs="Times New Roman"/>
          <w:szCs w:val="20"/>
          <w:u w:val="single"/>
        </w:rPr>
        <w:t>https://doi.org/10.1016/S0304-405X(02)00249-0</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hAnsi="Cambria"/>
          <w:sz w:val="24"/>
        </w:rPr>
        <w:fldChar w:fldCharType="end"/>
      </w:r>
      <w:r w:rsidRPr="008870AE">
        <w:rPr>
          <w:rFonts w:ascii="Cambria" w:eastAsia="Times New Roman" w:hAnsi="Cambria" w:cs="Times New Roman"/>
          <w:szCs w:val="20"/>
        </w:rPr>
        <w:t>Kuncoro, Mudrajad. (2009). Metode Riset untuk Bisnis dan Ekonomi.  Jakarta: Erlangga.</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Kuncoro, M. (2013). Metode Riset untuk Bisnis dan Ekonomi, (4). Jakarta: Erlangga.</w:t>
      </w:r>
    </w:p>
    <w:p w:rsidR="0073417F" w:rsidRPr="008870AE" w:rsidRDefault="0073417F" w:rsidP="0073417F">
      <w:pPr>
        <w:spacing w:after="0" w:line="240" w:lineRule="auto"/>
        <w:ind w:left="426" w:hanging="440"/>
        <w:jc w:val="both"/>
        <w:rPr>
          <w:rFonts w:ascii="Cambria" w:eastAsia="Times New Roman" w:hAnsi="Cambria" w:cs="Times New Roman"/>
          <w:i/>
          <w:szCs w:val="20"/>
        </w:rPr>
      </w:pPr>
      <w:r w:rsidRPr="008870AE">
        <w:rPr>
          <w:rFonts w:ascii="Cambria" w:eastAsia="Times New Roman" w:hAnsi="Cambria" w:cs="Times New Roman"/>
          <w:szCs w:val="20"/>
        </w:rPr>
        <w:t xml:space="preserve">Morgan, D. P. (1991). Will Just-In-Time Inventory Techniques Dampen Recessions?” </w:t>
      </w:r>
      <w:r w:rsidRPr="008870AE">
        <w:rPr>
          <w:rFonts w:ascii="Cambria" w:eastAsia="Times New Roman" w:hAnsi="Cambria" w:cs="Times New Roman"/>
          <w:i/>
          <w:szCs w:val="20"/>
        </w:rPr>
        <w:t>Federal Reserve Bank of Kansas City Economic Review</w:t>
      </w:r>
    </w:p>
    <w:p w:rsidR="0073417F" w:rsidRPr="008870AE" w:rsidRDefault="0073417F" w:rsidP="0073417F">
      <w:pPr>
        <w:spacing w:after="0" w:line="240" w:lineRule="auto"/>
        <w:ind w:left="426" w:hanging="440"/>
        <w:jc w:val="both"/>
        <w:rPr>
          <w:rFonts w:ascii="Cambria" w:eastAsia="Times New Roman" w:hAnsi="Cambria" w:cs="Times New Roman"/>
          <w:i/>
          <w:szCs w:val="20"/>
        </w:rPr>
      </w:pPr>
      <w:r w:rsidRPr="008870AE">
        <w:rPr>
          <w:rFonts w:ascii="Cambria" w:eastAsia="Times New Roman" w:hAnsi="Cambria" w:cs="Times New Roman"/>
          <w:szCs w:val="20"/>
        </w:rPr>
        <w:t xml:space="preserve">Lyroudi, K &amp; Lazaridis (2000).The Cash Conversion Cycle and Liquidity Analysis of the Food Industry in Greece. </w:t>
      </w:r>
      <w:r w:rsidRPr="008870AE">
        <w:rPr>
          <w:rFonts w:ascii="Cambria" w:eastAsia="Times New Roman" w:hAnsi="Cambria" w:cs="Times New Roman"/>
          <w:i/>
          <w:szCs w:val="20"/>
        </w:rPr>
        <w:t>EFMA 2000 Athens.</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Magpayo, C. L. (2010). Effect of Working Capital Management and Financial Leverage on Financial Performance of Philippine Firms, 9.</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Mun, S. G., &amp; Jang, S. (Shawn). (2015). Working capital, cash holding, and profitability of restaurant firms. </w:t>
      </w:r>
      <w:r w:rsidRPr="008870AE">
        <w:rPr>
          <w:rFonts w:ascii="Cambria" w:eastAsia="Times New Roman" w:hAnsi="Cambria" w:cs="Times New Roman"/>
          <w:i/>
          <w:szCs w:val="20"/>
        </w:rPr>
        <w:t>International Journal of Hospitality Management</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48</w:t>
      </w:r>
      <w:r w:rsidRPr="008870AE">
        <w:rPr>
          <w:rFonts w:ascii="Cambria" w:eastAsia="Times New Roman" w:hAnsi="Cambria" w:cs="Times New Roman"/>
          <w:szCs w:val="20"/>
        </w:rPr>
        <w:t>, 1–11. https://doi.org/10.1016/j.ijhm.2015.04.003</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lastRenderedPageBreak/>
        <w:t xml:space="preserve">Myers, S. C., &amp; Majluf, N. S. (1983). </w:t>
      </w:r>
      <w:r w:rsidR="008870AE" w:rsidRPr="008870AE">
        <w:rPr>
          <w:rFonts w:ascii="Cambria" w:eastAsia="Times New Roman" w:hAnsi="Cambria" w:cs="Times New Roman"/>
          <w:szCs w:val="20"/>
        </w:rPr>
        <w:t>Corporate Financing And Investment Decisions When Firms Have Information That Investors Do Not Have</w:t>
      </w:r>
      <w:r w:rsidRPr="008870AE">
        <w:rPr>
          <w:rFonts w:ascii="Cambria" w:eastAsia="Times New Roman" w:hAnsi="Cambria" w:cs="Times New Roman"/>
          <w:szCs w:val="20"/>
        </w:rPr>
        <w:t>, 62.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Pais, M. A., &amp; Gama, P. M. (2015). Working capital management and SMEs profitability: Portuguese evidence. </w:t>
      </w:r>
      <w:r w:rsidRPr="008870AE">
        <w:rPr>
          <w:rFonts w:ascii="Cambria" w:eastAsia="Times New Roman" w:hAnsi="Cambria" w:cs="Times New Roman"/>
          <w:i/>
          <w:szCs w:val="20"/>
        </w:rPr>
        <w:t>International Journal of Managerial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11</w:t>
      </w:r>
      <w:r w:rsidRPr="008870AE">
        <w:rPr>
          <w:rFonts w:ascii="Cambria" w:eastAsia="Times New Roman" w:hAnsi="Cambria" w:cs="Times New Roman"/>
          <w:szCs w:val="20"/>
        </w:rPr>
        <w:t>(3), 341–358. https://doi.org/10.1108/IJMF-11-2014-0170</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Rappaport, A. (1999). </w:t>
      </w:r>
      <w:r w:rsidRPr="008870AE">
        <w:rPr>
          <w:rFonts w:ascii="Cambria" w:eastAsia="Times New Roman" w:hAnsi="Cambria" w:cs="Times New Roman"/>
          <w:i/>
          <w:szCs w:val="20"/>
        </w:rPr>
        <w:t xml:space="preserve">Creating Shareholder Value: A Guide </w:t>
      </w:r>
      <w:proofErr w:type="gramStart"/>
      <w:r w:rsidRPr="008870AE">
        <w:rPr>
          <w:rFonts w:ascii="Cambria" w:eastAsia="Times New Roman" w:hAnsi="Cambria" w:cs="Times New Roman"/>
          <w:i/>
          <w:szCs w:val="20"/>
        </w:rPr>
        <w:t>For</w:t>
      </w:r>
      <w:proofErr w:type="gramEnd"/>
      <w:r w:rsidRPr="008870AE">
        <w:rPr>
          <w:rFonts w:ascii="Cambria" w:eastAsia="Times New Roman" w:hAnsi="Cambria" w:cs="Times New Roman"/>
          <w:i/>
          <w:szCs w:val="20"/>
        </w:rPr>
        <w:t xml:space="preserve"> Managers And Investors</w:t>
      </w:r>
      <w:r w:rsidRPr="008870AE">
        <w:rPr>
          <w:rFonts w:ascii="Cambria" w:eastAsia="Times New Roman" w:hAnsi="Cambria" w:cs="Times New Roman"/>
          <w:szCs w:val="20"/>
        </w:rPr>
        <w:t>. Simon and Schuster.</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Rasiah, R., Cheong, K. C., &amp; Doner, R. (2014). Southeast Asia and the Asian and Global Financial Crises. </w:t>
      </w:r>
      <w:r w:rsidRPr="008870AE">
        <w:rPr>
          <w:rFonts w:ascii="Cambria" w:eastAsia="Times New Roman" w:hAnsi="Cambria" w:cs="Times New Roman"/>
          <w:i/>
          <w:szCs w:val="20"/>
        </w:rPr>
        <w:t>Journal of Contemporary Asia</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44</w:t>
      </w:r>
      <w:r w:rsidRPr="008870AE">
        <w:rPr>
          <w:rFonts w:ascii="Cambria" w:eastAsia="Times New Roman" w:hAnsi="Cambria" w:cs="Times New Roman"/>
          <w:szCs w:val="20"/>
        </w:rPr>
        <w:t>(4), 572–580. https://doi.org/10.1080/00472336.2014.933062</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Salman, F.</w:t>
      </w:r>
      <w:proofErr w:type="gramStart"/>
      <w:r w:rsidRPr="008870AE">
        <w:rPr>
          <w:rFonts w:ascii="Cambria" w:eastAsia="Times New Roman" w:hAnsi="Cambria" w:cs="Times New Roman"/>
          <w:szCs w:val="20"/>
        </w:rPr>
        <w:t>,  Chivakul</w:t>
      </w:r>
      <w:proofErr w:type="gramEnd"/>
      <w:r w:rsidRPr="008870AE">
        <w:rPr>
          <w:rFonts w:ascii="Cambria" w:eastAsia="Times New Roman" w:hAnsi="Cambria" w:cs="Times New Roman"/>
          <w:szCs w:val="20"/>
        </w:rPr>
        <w:t xml:space="preserve">, M., &amp; Llaudes, R. (2010). The Impact of the Great Recessionon Emerging Markets. </w:t>
      </w:r>
      <w:r w:rsidRPr="008870AE">
        <w:rPr>
          <w:rFonts w:ascii="Cambria" w:eastAsia="Times New Roman" w:hAnsi="Cambria" w:cs="Times New Roman"/>
          <w:i/>
          <w:szCs w:val="20"/>
        </w:rPr>
        <w:t>IMF Working Papers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10</w:t>
      </w:r>
      <w:r w:rsidRPr="008870AE">
        <w:rPr>
          <w:rFonts w:ascii="Cambria" w:eastAsia="Times New Roman" w:hAnsi="Cambria" w:cs="Times New Roman"/>
          <w:szCs w:val="20"/>
        </w:rPr>
        <w:t>(237), 1. https://doi.org/10.5089/9781455209378.001</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Sharma, A.K. and Kumar, S. (2011), “Effect of working capital management on firm profitability: empirical evidence from India”, Global Business Review, Vol. 12 No. 1, pp. 159-173.</w:t>
      </w:r>
    </w:p>
    <w:p w:rsidR="0073417F" w:rsidRPr="008870AE" w:rsidRDefault="0073417F" w:rsidP="0073417F">
      <w:pPr>
        <w:spacing w:after="0" w:line="240" w:lineRule="auto"/>
        <w:ind w:left="426" w:hanging="440"/>
        <w:jc w:val="both"/>
        <w:rPr>
          <w:rFonts w:ascii="Cambria" w:eastAsia="Times New Roman" w:hAnsi="Cambria" w:cs="Times New Roman"/>
          <w:i/>
          <w:szCs w:val="20"/>
        </w:rPr>
      </w:pPr>
      <w:r w:rsidRPr="008870AE">
        <w:rPr>
          <w:rFonts w:ascii="Cambria" w:eastAsia="Times New Roman" w:hAnsi="Cambria" w:cs="Times New Roman"/>
          <w:szCs w:val="20"/>
        </w:rPr>
        <w:t xml:space="preserve">Simon, D. (1997). The Urban Challenge in Africa: Growth and Management of Its Large Cities. </w:t>
      </w:r>
      <w:r w:rsidRPr="008870AE">
        <w:rPr>
          <w:rFonts w:ascii="Cambria" w:eastAsia="Times New Roman" w:hAnsi="Cambria" w:cs="Times New Roman"/>
          <w:i/>
          <w:szCs w:val="20"/>
        </w:rPr>
        <w:t>World Enviromental Gallery</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Subramanyam, K. R., &amp; Wild, J. J. (2009). </w:t>
      </w:r>
      <w:r w:rsidRPr="008870AE">
        <w:rPr>
          <w:rFonts w:ascii="Cambria" w:eastAsia="Times New Roman" w:hAnsi="Cambria" w:cs="Times New Roman"/>
          <w:i/>
          <w:szCs w:val="20"/>
        </w:rPr>
        <w:t>Financial statement analysis</w:t>
      </w:r>
      <w:r w:rsidRPr="008870AE">
        <w:rPr>
          <w:rFonts w:ascii="Cambria" w:eastAsia="Times New Roman" w:hAnsi="Cambria" w:cs="Times New Roman"/>
          <w:szCs w:val="20"/>
        </w:rPr>
        <w:t xml:space="preserve"> (10. </w:t>
      </w:r>
      <w:proofErr w:type="gramStart"/>
      <w:r w:rsidRPr="008870AE">
        <w:rPr>
          <w:rFonts w:ascii="Cambria" w:eastAsia="Times New Roman" w:hAnsi="Cambria" w:cs="Times New Roman"/>
          <w:szCs w:val="20"/>
        </w:rPr>
        <w:t>ed</w:t>
      </w:r>
      <w:proofErr w:type="gramEnd"/>
      <w:r w:rsidRPr="008870AE">
        <w:rPr>
          <w:rFonts w:ascii="Cambria" w:eastAsia="Times New Roman" w:hAnsi="Cambria" w:cs="Times New Roman"/>
          <w:szCs w:val="20"/>
        </w:rPr>
        <w:t>). Boston: McGraw-Hill Irwin.</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Sugiyono. (2006). Metode Penelitian Kuantitatif Kualitatif dan R&amp;D. Bandung:  Alfabeta.</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Sugiyono. (2010). Metode Penelitian Kuantitatif dan Kualitatif dan R&amp;D. Bandung: Alfabeta.</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Tran, H., Abbott, M., &amp; Jin Yap, C. (2017). How does working capital management affect the profitability of Vietnamese small- and medium-sized enterprises? </w:t>
      </w:r>
      <w:r w:rsidRPr="008870AE">
        <w:rPr>
          <w:rFonts w:ascii="Cambria" w:eastAsia="Times New Roman" w:hAnsi="Cambria" w:cs="Times New Roman"/>
          <w:i/>
          <w:szCs w:val="20"/>
        </w:rPr>
        <w:t>Journal of Small Business and Enterprise Development</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24</w:t>
      </w:r>
      <w:r w:rsidRPr="008870AE">
        <w:rPr>
          <w:rFonts w:ascii="Cambria" w:eastAsia="Times New Roman" w:hAnsi="Cambria" w:cs="Times New Roman"/>
          <w:szCs w:val="20"/>
        </w:rPr>
        <w:t>(1), 2–11. https://doi.org/10.1108/JSBED-05-2016-0070</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Ukaegbu, B. (2014). The significance of working capital management in determining firm profitability: Evidence from developing economies in Africa. </w:t>
      </w:r>
      <w:r w:rsidRPr="008870AE">
        <w:rPr>
          <w:rFonts w:ascii="Cambria" w:eastAsia="Times New Roman" w:hAnsi="Cambria" w:cs="Times New Roman"/>
          <w:i/>
          <w:szCs w:val="20"/>
        </w:rPr>
        <w:t>Research in International Business and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31</w:t>
      </w:r>
      <w:r w:rsidRPr="008870AE">
        <w:rPr>
          <w:rFonts w:ascii="Cambria" w:eastAsia="Times New Roman" w:hAnsi="Cambria" w:cs="Times New Roman"/>
          <w:szCs w:val="20"/>
        </w:rPr>
        <w:t>, 1–16. https://doi.org/10.1016/j.ribaf.2013.11.005</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Vahid, T. K., Elham, G., Mohsen, A. khosroshahi, &amp; Mohammadreza, E. (2012). Working Capital Management and Corporate Performance: Evidence from Iranian Companies. </w:t>
      </w:r>
      <w:r w:rsidRPr="008870AE">
        <w:rPr>
          <w:rFonts w:ascii="Cambria" w:eastAsia="Times New Roman" w:hAnsi="Cambria" w:cs="Times New Roman"/>
          <w:i/>
          <w:szCs w:val="20"/>
        </w:rPr>
        <w:t>Procedia - Social and Behavioral Sciences</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62</w:t>
      </w:r>
      <w:r w:rsidRPr="008870AE">
        <w:rPr>
          <w:rFonts w:ascii="Cambria" w:eastAsia="Times New Roman" w:hAnsi="Cambria" w:cs="Times New Roman"/>
          <w:szCs w:val="20"/>
        </w:rPr>
        <w:t>, 1313–1318. https://doi.org/10.1016/j.sbspro.2012.09.225</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Wasiuzzaman, S. (2015). Working capital and firm value in an emerging market. </w:t>
      </w:r>
      <w:r w:rsidRPr="008870AE">
        <w:rPr>
          <w:rFonts w:ascii="Cambria" w:eastAsia="Times New Roman" w:hAnsi="Cambria" w:cs="Times New Roman"/>
          <w:i/>
          <w:szCs w:val="20"/>
        </w:rPr>
        <w:t>International Journal of Managerial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11</w:t>
      </w:r>
      <w:r w:rsidRPr="008870AE">
        <w:rPr>
          <w:rFonts w:ascii="Cambria" w:eastAsia="Times New Roman" w:hAnsi="Cambria" w:cs="Times New Roman"/>
          <w:szCs w:val="20"/>
        </w:rPr>
        <w:t>(1), 60–79. https://doi.org/10.1108/IJMF-01-2013-0016</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Wibowo, A., &amp; Wartini, S. (2012). Efisiensi Modal Kerja, Likuiditas dan Leverage terhadap Profitabilitas pada Perusahaan Manufaktur di BEI. </w:t>
      </w:r>
      <w:r w:rsidRPr="008870AE">
        <w:rPr>
          <w:rFonts w:ascii="Cambria" w:eastAsia="Times New Roman" w:hAnsi="Cambria" w:cs="Times New Roman"/>
          <w:i/>
          <w:szCs w:val="20"/>
        </w:rPr>
        <w:t>Jurnal Dinamika Manajemen</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3</w:t>
      </w:r>
      <w:r w:rsidRPr="008870AE">
        <w:rPr>
          <w:rFonts w:ascii="Cambria" w:eastAsia="Times New Roman" w:hAnsi="Cambria" w:cs="Times New Roman"/>
          <w:szCs w:val="20"/>
        </w:rPr>
        <w:t>(1). Retrieved from https://journal.unnes.ac.id/nju/index.php/jdm/article/view/2459</w:t>
      </w:r>
    </w:p>
    <w:p w:rsidR="0073417F" w:rsidRPr="008870AE" w:rsidRDefault="0073417F" w:rsidP="0073417F">
      <w:pPr>
        <w:spacing w:after="0" w:line="240" w:lineRule="auto"/>
        <w:ind w:left="426" w:hanging="440"/>
        <w:jc w:val="both"/>
        <w:rPr>
          <w:rFonts w:ascii="Cambria" w:eastAsia="Times New Roman" w:hAnsi="Cambria" w:cs="Times New Roman"/>
          <w:szCs w:val="20"/>
        </w:rPr>
      </w:pPr>
      <w:r w:rsidRPr="008870AE">
        <w:rPr>
          <w:rFonts w:ascii="Cambria" w:eastAsia="Times New Roman" w:hAnsi="Cambria" w:cs="Times New Roman"/>
          <w:szCs w:val="20"/>
        </w:rPr>
        <w:t xml:space="preserve">Wibowo, M. G. (2017). Public Debt and Economic Growth in </w:t>
      </w:r>
      <w:proofErr w:type="gramStart"/>
      <w:r w:rsidRPr="008870AE">
        <w:rPr>
          <w:rFonts w:ascii="Cambria" w:eastAsia="Times New Roman" w:hAnsi="Cambria" w:cs="Times New Roman"/>
          <w:szCs w:val="20"/>
        </w:rPr>
        <w:t>The</w:t>
      </w:r>
      <w:proofErr w:type="gramEnd"/>
      <w:r w:rsidRPr="008870AE">
        <w:rPr>
          <w:rFonts w:ascii="Cambria" w:eastAsia="Times New Roman" w:hAnsi="Cambria" w:cs="Times New Roman"/>
          <w:szCs w:val="20"/>
        </w:rPr>
        <w:t xml:space="preserve"> SouthEast Asian Countries. </w:t>
      </w:r>
      <w:r w:rsidRPr="008870AE">
        <w:rPr>
          <w:rFonts w:ascii="Cambria" w:eastAsia="Times New Roman" w:hAnsi="Cambria" w:cs="Times New Roman"/>
          <w:i/>
          <w:szCs w:val="20"/>
        </w:rPr>
        <w:t>SIGNIFIKAN: Jurnal Ilmu Ekonomi</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6</w:t>
      </w:r>
      <w:r w:rsidRPr="008870AE">
        <w:rPr>
          <w:rFonts w:ascii="Cambria" w:eastAsia="Times New Roman" w:hAnsi="Cambria" w:cs="Times New Roman"/>
          <w:szCs w:val="20"/>
        </w:rPr>
        <w:t>(1). https://doi.org/10.15408/sjie.v6i1.4779</w:t>
      </w:r>
    </w:p>
    <w:p w:rsidR="0073417F" w:rsidRPr="008870AE" w:rsidRDefault="0073417F" w:rsidP="0073417F">
      <w:pPr>
        <w:pBdr>
          <w:top w:val="nil"/>
          <w:left w:val="nil"/>
          <w:bottom w:val="nil"/>
          <w:right w:val="nil"/>
          <w:between w:val="nil"/>
        </w:pBdr>
        <w:spacing w:after="0" w:line="240" w:lineRule="auto"/>
        <w:ind w:left="426" w:hanging="720"/>
        <w:jc w:val="both"/>
        <w:rPr>
          <w:rFonts w:ascii="Cambria" w:eastAsia="Times New Roman" w:hAnsi="Cambria" w:cs="Times New Roman"/>
          <w:sz w:val="24"/>
        </w:rPr>
      </w:pPr>
      <w:r w:rsidRPr="008870AE">
        <w:rPr>
          <w:rFonts w:ascii="Cambria" w:eastAsia="Times New Roman" w:hAnsi="Cambria" w:cs="Times New Roman"/>
          <w:szCs w:val="20"/>
        </w:rPr>
        <w:t xml:space="preserve">Yazdanfar, D., &amp; Öhman, P. (2014). The impact of cash conversion cycle on firm profitability: An empirical study based on Swedish data. </w:t>
      </w:r>
      <w:r w:rsidRPr="008870AE">
        <w:rPr>
          <w:rFonts w:ascii="Cambria" w:eastAsia="Times New Roman" w:hAnsi="Cambria" w:cs="Times New Roman"/>
          <w:i/>
          <w:szCs w:val="20"/>
        </w:rPr>
        <w:t>International Journal of Managerial Finance</w:t>
      </w:r>
      <w:r w:rsidRPr="008870AE">
        <w:rPr>
          <w:rFonts w:ascii="Cambria" w:eastAsia="Times New Roman" w:hAnsi="Cambria" w:cs="Times New Roman"/>
          <w:szCs w:val="20"/>
        </w:rPr>
        <w:t xml:space="preserve">, </w:t>
      </w:r>
      <w:r w:rsidRPr="008870AE">
        <w:rPr>
          <w:rFonts w:ascii="Cambria" w:eastAsia="Times New Roman" w:hAnsi="Cambria" w:cs="Times New Roman"/>
          <w:i/>
          <w:szCs w:val="20"/>
        </w:rPr>
        <w:t>10</w:t>
      </w:r>
      <w:r w:rsidRPr="008870AE">
        <w:rPr>
          <w:rFonts w:ascii="Cambria" w:eastAsia="Times New Roman" w:hAnsi="Cambria" w:cs="Times New Roman"/>
          <w:szCs w:val="20"/>
        </w:rPr>
        <w:t>(4), 442–452. https://doi.org/10.1108/IJMF-12-2013-0137</w:t>
      </w:r>
    </w:p>
    <w:sectPr w:rsidR="0073417F" w:rsidRPr="008870AE" w:rsidSect="002C505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4CBC"/>
    <w:multiLevelType w:val="hybridMultilevel"/>
    <w:tmpl w:val="0932025E"/>
    <w:lvl w:ilvl="0" w:tplc="871487E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62352"/>
    <w:multiLevelType w:val="hybridMultilevel"/>
    <w:tmpl w:val="5DFE54C6"/>
    <w:lvl w:ilvl="0" w:tplc="A4AA949A">
      <w:start w:val="1"/>
      <w:numFmt w:val="decimal"/>
      <w:lvlText w:val="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15F4F"/>
    <w:multiLevelType w:val="hybridMultilevel"/>
    <w:tmpl w:val="EB9EBBF8"/>
    <w:lvl w:ilvl="0" w:tplc="CF5C8562">
      <w:start w:val="1"/>
      <w:numFmt w:val="decimal"/>
      <w:lvlText w:val="2.%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AF2"/>
    <w:multiLevelType w:val="multilevel"/>
    <w:tmpl w:val="1E423A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E6B4BC3"/>
    <w:multiLevelType w:val="hybridMultilevel"/>
    <w:tmpl w:val="C21A093E"/>
    <w:lvl w:ilvl="0" w:tplc="52948B3C">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25148"/>
    <w:multiLevelType w:val="hybridMultilevel"/>
    <w:tmpl w:val="3FF88CCA"/>
    <w:lvl w:ilvl="0" w:tplc="A0161B10">
      <w:start w:val="1"/>
      <w:numFmt w:val="decimal"/>
      <w:lvlText w:val="4.2.%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A0"/>
    <w:rsid w:val="00111F5C"/>
    <w:rsid w:val="0017692F"/>
    <w:rsid w:val="001939E3"/>
    <w:rsid w:val="002A64A3"/>
    <w:rsid w:val="002C505F"/>
    <w:rsid w:val="002F7C9A"/>
    <w:rsid w:val="003113C6"/>
    <w:rsid w:val="0034069B"/>
    <w:rsid w:val="00357B39"/>
    <w:rsid w:val="006677F7"/>
    <w:rsid w:val="006D7250"/>
    <w:rsid w:val="007210B2"/>
    <w:rsid w:val="007252F7"/>
    <w:rsid w:val="0073417F"/>
    <w:rsid w:val="007A5A37"/>
    <w:rsid w:val="00814F54"/>
    <w:rsid w:val="0087250C"/>
    <w:rsid w:val="008870AE"/>
    <w:rsid w:val="008D0463"/>
    <w:rsid w:val="008D55D3"/>
    <w:rsid w:val="009537E5"/>
    <w:rsid w:val="009A3B13"/>
    <w:rsid w:val="00A20D09"/>
    <w:rsid w:val="00AA00A0"/>
    <w:rsid w:val="00C76905"/>
    <w:rsid w:val="00C76CD6"/>
    <w:rsid w:val="00D536B8"/>
    <w:rsid w:val="00D6229B"/>
    <w:rsid w:val="00E4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A02C0-933F-42E1-AE10-6BA2A78D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05F"/>
    <w:pPr>
      <w:ind w:left="720"/>
      <w:contextualSpacing/>
    </w:pPr>
  </w:style>
  <w:style w:type="table" w:styleId="TableGrid">
    <w:name w:val="Table Grid"/>
    <w:basedOn w:val="TableNormal"/>
    <w:uiPriority w:val="39"/>
    <w:rsid w:val="0081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870AE"/>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8870A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8870AE"/>
    <w:rPr>
      <w:sz w:val="16"/>
      <w:szCs w:val="16"/>
    </w:rPr>
  </w:style>
  <w:style w:type="paragraph" w:styleId="CommentText">
    <w:name w:val="annotation text"/>
    <w:basedOn w:val="Normal"/>
    <w:link w:val="CommentTextChar"/>
    <w:uiPriority w:val="99"/>
    <w:semiHidden/>
    <w:unhideWhenUsed/>
    <w:rsid w:val="008870AE"/>
    <w:pPr>
      <w:spacing w:line="240" w:lineRule="auto"/>
    </w:pPr>
    <w:rPr>
      <w:sz w:val="20"/>
      <w:szCs w:val="20"/>
      <w:lang w:val="id-ID"/>
    </w:rPr>
  </w:style>
  <w:style w:type="character" w:customStyle="1" w:styleId="CommentTextChar">
    <w:name w:val="Comment Text Char"/>
    <w:basedOn w:val="DefaultParagraphFont"/>
    <w:link w:val="CommentText"/>
    <w:uiPriority w:val="99"/>
    <w:semiHidden/>
    <w:rsid w:val="008870AE"/>
    <w:rPr>
      <w:sz w:val="20"/>
      <w:szCs w:val="20"/>
      <w:lang w:val="id-ID"/>
    </w:rPr>
  </w:style>
  <w:style w:type="paragraph" w:styleId="BalloonText">
    <w:name w:val="Balloon Text"/>
    <w:basedOn w:val="Normal"/>
    <w:link w:val="BalloonTextChar"/>
    <w:uiPriority w:val="99"/>
    <w:semiHidden/>
    <w:unhideWhenUsed/>
    <w:rsid w:val="00887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304-405X(02)00249-0" TargetMode="External"/><Relationship Id="rId3" Type="http://schemas.openxmlformats.org/officeDocument/2006/relationships/settings" Target="settings.xml"/><Relationship Id="rId7" Type="http://schemas.openxmlformats.org/officeDocument/2006/relationships/hyperlink" Target="http://feb.kuleuven.be/public/n12111/xtscc_pa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139/ssrn.32008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7595</Words>
  <Characters>43296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Ayu Putri Dhamayanti</dc:creator>
  <cp:keywords/>
  <dc:description/>
  <cp:lastModifiedBy>Retno</cp:lastModifiedBy>
  <cp:revision>3</cp:revision>
  <dcterms:created xsi:type="dcterms:W3CDTF">2020-11-30T05:12:00Z</dcterms:created>
  <dcterms:modified xsi:type="dcterms:W3CDTF">2020-11-30T06:51:00Z</dcterms:modified>
</cp:coreProperties>
</file>