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1DED" w14:textId="77777777" w:rsidR="00AD6F56" w:rsidRDefault="008830CC">
      <w:pPr>
        <w:pStyle w:val="BodyText"/>
        <w:spacing w:line="20" w:lineRule="exact"/>
        <w:ind w:left="96"/>
        <w:jc w:val="left"/>
        <w:rPr>
          <w:sz w:val="2"/>
        </w:rPr>
      </w:pPr>
      <w:r w:rsidRPr="00EE4897">
        <w:rPr>
          <w:b/>
          <w:bCs/>
          <w:noProof/>
          <w:lang w:bidi="ar-SA"/>
        </w:rPr>
        <mc:AlternateContent>
          <mc:Choice Requires="wps">
            <w:drawing>
              <wp:anchor distT="0" distB="0" distL="114300" distR="114300" simplePos="0" relativeHeight="251659264" behindDoc="0" locked="0" layoutInCell="1" allowOverlap="1" wp14:anchorId="5767A006" wp14:editId="3D72F66C">
                <wp:simplePos x="0" y="0"/>
                <wp:positionH relativeFrom="margin">
                  <wp:posOffset>0</wp:posOffset>
                </wp:positionH>
                <wp:positionV relativeFrom="paragraph">
                  <wp:posOffset>-70485</wp:posOffset>
                </wp:positionV>
                <wp:extent cx="6172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8FE52" id="Straight Connector 6"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55pt" to="48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ZbpwAEAAMgDAAAOAAAAZHJzL2Uyb0RvYy54bWysU8Fu2zAMvQ/oPwi6L7YDLNuMOD2kWC/D&#10;FqzrB6iyFAuTRIHSYufvRymJW7TDMBS9yJL43iMfRa+vJ2fZQWE04DveLGrOlJfQG7/v+P3PL+8/&#10;cRaT8L2w4FXHjyry683Vu/UYWrWEAWyvkJGIj+0YOj6kFNqqinJQTsQFBOUpqAGdSHTEfdWjGEnd&#10;2WpZ16tqBOwDglQx0u3NKcg3RV9rJdN3raNKzHacaktlxbI+5LXarEW7RxEGI89liFdU4YTxlHSW&#10;uhFJsN9oXkg5IxEi6LSQ4CrQ2khVPJCbpn7m5m4QQRUv1JwY5jbFt5OV3w47ZKbv+IozLxw90V1C&#10;YfZDYlvwnhoIyFa5T2OILcG3fofnUww7zKYnjS5/yQ6bSm+Pc2/VlJiky1XzcUkPxpm8xKpHYsCY&#10;bhU4ljcdt8Zn26IVh68xUTKCXiD52no20rB9rj+UB6xyZadayi4drTrBfihN3ih7U+TKVKmtRXYQ&#10;NA/9ryb7InHrCZkp2lg7k+p/k87YTFNl0v6XOKNLRvBpJjrjAf+WNU2XUvUJT2U/8Zq3D9Afy8uU&#10;AI1LcXYe7TyPT8+F/vgDbv4AAAD//wMAUEsDBBQABgAIAAAAIQCpMGOA2QAAAAgBAAAPAAAAZHJz&#10;L2Rvd25yZXYueG1sTI9BS8NAEIXvgv9hGcFbO0kFtTGbIkouHkSj0us2OybB7GzIbpP47x1BsMd5&#10;7/Hme/lucb2aaAydZw3pOgFFXHvbcaPh/a1c3YIK0bA1vWfS8E0BdsX5WW4y62d+pamKjZISDpnR&#10;0MY4ZIihbsmZsPYDsXiffnQmyjk2aEczS7nrcZMk1+hMx/KhNQM9tFR/VUenAZ8ecao8VeXLfn6+&#10;og8sLaLWlxfL/R2oSEv8D8MvvqBDIUwHf2QbVK9BhkQNqzRNQYm9vdmIcvhTsMjxdEDxAwAA//8D&#10;AFBLAQItABQABgAIAAAAIQC2gziS/gAAAOEBAAATAAAAAAAAAAAAAAAAAAAAAABbQ29udGVudF9U&#10;eXBlc10ueG1sUEsBAi0AFAAGAAgAAAAhADj9If/WAAAAlAEAAAsAAAAAAAAAAAAAAAAALwEAAF9y&#10;ZWxzLy5yZWxzUEsBAi0AFAAGAAgAAAAhADzplunAAQAAyAMAAA4AAAAAAAAAAAAAAAAALgIAAGRy&#10;cy9lMm9Eb2MueG1sUEsBAi0AFAAGAAgAAAAhAKkwY4DZAAAACAEAAA8AAAAAAAAAAAAAAAAAGgQA&#10;AGRycy9kb3ducmV2LnhtbFBLBQYAAAAABAAEAPMAAAAgBQAAAAA=&#10;" strokecolor="black [3040]" strokeweight="1.5pt">
                <w10:wrap anchorx="margin"/>
              </v:line>
            </w:pict>
          </mc:Fallback>
        </mc:AlternateContent>
      </w:r>
    </w:p>
    <w:p w14:paraId="0177D89A" w14:textId="4D6B51DA" w:rsidR="00E5363A" w:rsidRDefault="001E46A3" w:rsidP="00E5363A">
      <w:pPr>
        <w:jc w:val="center"/>
        <w:rPr>
          <w:b/>
          <w:color w:val="000000"/>
          <w:sz w:val="24"/>
          <w:szCs w:val="24"/>
        </w:rPr>
      </w:pPr>
      <w:r>
        <w:rPr>
          <w:b/>
          <w:color w:val="000000"/>
          <w:sz w:val="24"/>
          <w:szCs w:val="24"/>
        </w:rPr>
        <w:t>READINESS OF THE COMMUNITY</w:t>
      </w:r>
      <w:r w:rsidR="00C02158">
        <w:rPr>
          <w:b/>
          <w:color w:val="000000"/>
          <w:sz w:val="24"/>
          <w:szCs w:val="24"/>
        </w:rPr>
        <w:t>-</w:t>
      </w:r>
      <w:r>
        <w:rPr>
          <w:b/>
          <w:color w:val="000000"/>
          <w:sz w:val="24"/>
          <w:szCs w:val="24"/>
        </w:rPr>
        <w:t>BASED ORGANIZATION IN IMPROVING FEMALE ADOLECESCENTS’ IRON FOLATE STATUS IN A RURAL AREA</w:t>
      </w:r>
    </w:p>
    <w:p w14:paraId="6DBD4E7B" w14:textId="1D424C16" w:rsidR="00E5363A" w:rsidRDefault="00E5363A" w:rsidP="00E3045B">
      <w:pPr>
        <w:spacing w:before="126" w:line="233" w:lineRule="exact"/>
        <w:jc w:val="center"/>
        <w:rPr>
          <w:b/>
        </w:rPr>
      </w:pPr>
      <w:r w:rsidRPr="001B4C45">
        <w:rPr>
          <w:b/>
          <w:vertAlign w:val="superscript"/>
        </w:rPr>
        <w:t>1</w:t>
      </w:r>
      <w:r w:rsidR="00200E2F">
        <w:rPr>
          <w:b/>
        </w:rPr>
        <w:t>Apriningsih</w:t>
      </w:r>
      <w:r w:rsidR="00596417">
        <w:rPr>
          <w:b/>
        </w:rPr>
        <w:t>*</w:t>
      </w:r>
      <w:r w:rsidRPr="00E5363A">
        <w:rPr>
          <w:b/>
        </w:rPr>
        <w:t xml:space="preserve">, </w:t>
      </w:r>
      <w:r w:rsidR="001B4C45" w:rsidRPr="001B4C45">
        <w:rPr>
          <w:b/>
          <w:vertAlign w:val="superscript"/>
        </w:rPr>
        <w:t>1</w:t>
      </w:r>
      <w:r w:rsidR="00F33470">
        <w:rPr>
          <w:b/>
        </w:rPr>
        <w:t>M</w:t>
      </w:r>
      <w:r w:rsidR="001426B1">
        <w:rPr>
          <w:b/>
        </w:rPr>
        <w:t>u</w:t>
      </w:r>
      <w:r w:rsidR="00F33470">
        <w:rPr>
          <w:b/>
        </w:rPr>
        <w:t xml:space="preserve">hammad </w:t>
      </w:r>
      <w:proofErr w:type="spellStart"/>
      <w:r w:rsidR="00F33470">
        <w:rPr>
          <w:b/>
        </w:rPr>
        <w:t>Reihan</w:t>
      </w:r>
      <w:proofErr w:type="spellEnd"/>
      <w:r w:rsidR="00F33470">
        <w:rPr>
          <w:b/>
        </w:rPr>
        <w:t xml:space="preserve"> A, </w:t>
      </w:r>
      <w:r w:rsidR="001B4C45" w:rsidRPr="001B4C45">
        <w:rPr>
          <w:b/>
          <w:vertAlign w:val="superscript"/>
        </w:rPr>
        <w:t>1</w:t>
      </w:r>
      <w:r w:rsidR="00200E2F">
        <w:rPr>
          <w:b/>
        </w:rPr>
        <w:t>Widayani</w:t>
      </w:r>
      <w:r w:rsidR="00F33470">
        <w:rPr>
          <w:b/>
        </w:rPr>
        <w:t xml:space="preserve"> </w:t>
      </w:r>
      <w:proofErr w:type="spellStart"/>
      <w:r w:rsidR="00F33470">
        <w:rPr>
          <w:b/>
        </w:rPr>
        <w:t>Wahyuningtyas</w:t>
      </w:r>
      <w:proofErr w:type="spellEnd"/>
      <w:r w:rsidRPr="00E5363A">
        <w:rPr>
          <w:b/>
        </w:rPr>
        <w:t xml:space="preserve">, </w:t>
      </w:r>
      <w:r w:rsidR="001B4C45">
        <w:rPr>
          <w:b/>
          <w:vertAlign w:val="superscript"/>
        </w:rPr>
        <w:t>2</w:t>
      </w:r>
      <w:r w:rsidR="00AD6364">
        <w:rPr>
          <w:b/>
          <w:vertAlign w:val="superscript"/>
        </w:rPr>
        <w:t>*</w:t>
      </w:r>
      <w:proofErr w:type="spellStart"/>
      <w:r w:rsidR="00F33470">
        <w:rPr>
          <w:b/>
        </w:rPr>
        <w:t>Feda</w:t>
      </w:r>
      <w:proofErr w:type="spellEnd"/>
      <w:r w:rsidR="00F33470">
        <w:rPr>
          <w:b/>
        </w:rPr>
        <w:t xml:space="preserve"> A. </w:t>
      </w:r>
      <w:proofErr w:type="spellStart"/>
      <w:r w:rsidR="00F33470">
        <w:rPr>
          <w:b/>
        </w:rPr>
        <w:t>Makiyah</w:t>
      </w:r>
      <w:proofErr w:type="spellEnd"/>
      <w:r w:rsidR="001B4C45">
        <w:rPr>
          <w:b/>
        </w:rPr>
        <w:t xml:space="preserve"> </w:t>
      </w:r>
    </w:p>
    <w:p w14:paraId="1278A9EA" w14:textId="77777777" w:rsidR="00596417" w:rsidRDefault="00596417" w:rsidP="00596417">
      <w:pPr>
        <w:spacing w:line="233" w:lineRule="exact"/>
        <w:jc w:val="center"/>
        <w:rPr>
          <w:b/>
        </w:rPr>
      </w:pPr>
    </w:p>
    <w:p w14:paraId="3A1B444F" w14:textId="38CE21A3" w:rsidR="00AD6F56" w:rsidRDefault="00596417" w:rsidP="00E3045B">
      <w:pPr>
        <w:spacing w:before="126" w:line="233" w:lineRule="exact"/>
        <w:jc w:val="center"/>
      </w:pPr>
      <w:r>
        <w:rPr>
          <w:position w:val="7"/>
          <w:vertAlign w:val="superscript"/>
        </w:rPr>
        <w:t>1</w:t>
      </w:r>
      <w:r w:rsidR="00E5363A" w:rsidRPr="00E5363A">
        <w:t xml:space="preserve"> </w:t>
      </w:r>
      <w:proofErr w:type="spellStart"/>
      <w:r>
        <w:t>Fakultas</w:t>
      </w:r>
      <w:proofErr w:type="spellEnd"/>
      <w:r>
        <w:t xml:space="preserve"> </w:t>
      </w:r>
      <w:proofErr w:type="spellStart"/>
      <w:r w:rsidR="001B4C45">
        <w:t>Ilmu</w:t>
      </w:r>
      <w:proofErr w:type="spellEnd"/>
      <w:r w:rsidR="001B4C45">
        <w:t xml:space="preserve"> Kesehatan</w:t>
      </w:r>
      <w:r>
        <w:t>, Universitas Pembangunan Nasional Veteran Jakarta</w:t>
      </w:r>
    </w:p>
    <w:p w14:paraId="43185D6C" w14:textId="035C6420" w:rsidR="00596417" w:rsidRDefault="00596417" w:rsidP="00596417">
      <w:pPr>
        <w:spacing w:before="126" w:line="233" w:lineRule="exact"/>
        <w:jc w:val="center"/>
      </w:pPr>
      <w:r>
        <w:rPr>
          <w:position w:val="7"/>
          <w:vertAlign w:val="superscript"/>
        </w:rPr>
        <w:t>2</w:t>
      </w:r>
      <w:r w:rsidR="00E3045B" w:rsidRPr="00E3045B">
        <w:t xml:space="preserve"> </w:t>
      </w:r>
      <w:proofErr w:type="spellStart"/>
      <w:r>
        <w:t>Fakultas</w:t>
      </w:r>
      <w:proofErr w:type="spellEnd"/>
      <w:r>
        <w:t xml:space="preserve"> </w:t>
      </w:r>
      <w:proofErr w:type="spellStart"/>
      <w:r w:rsidR="001B4C45">
        <w:t>Kedokteran</w:t>
      </w:r>
      <w:proofErr w:type="spellEnd"/>
      <w:r>
        <w:t>, Universitas Pembangunan Nasional Veteran Jakarta</w:t>
      </w:r>
    </w:p>
    <w:p w14:paraId="18C4C018" w14:textId="77777777" w:rsidR="00E5363A" w:rsidRDefault="00E5363A" w:rsidP="00E5363A">
      <w:pPr>
        <w:ind w:left="1440" w:right="1733" w:firstLine="720"/>
        <w:jc w:val="center"/>
      </w:pPr>
    </w:p>
    <w:p w14:paraId="4F0A139D" w14:textId="4CA4D569" w:rsidR="00AD6F56" w:rsidRDefault="00E5363A">
      <w:pPr>
        <w:ind w:left="1713" w:right="1733"/>
        <w:jc w:val="center"/>
      </w:pPr>
      <w:r>
        <w:t>*Corre</w:t>
      </w:r>
      <w:r w:rsidR="00596417">
        <w:t>s</w:t>
      </w:r>
      <w:r>
        <w:t xml:space="preserve">pondence </w:t>
      </w:r>
      <w:proofErr w:type="spellStart"/>
      <w:proofErr w:type="gramStart"/>
      <w:r>
        <w:t>e</w:t>
      </w:r>
      <w:r w:rsidR="00BF7A81">
        <w:t>mail:</w:t>
      </w:r>
      <w:r w:rsidR="00AD6364">
        <w:t>fedaanisah@upnvj.ac.id</w:t>
      </w:r>
      <w:proofErr w:type="spellEnd"/>
      <w:proofErr w:type="gramEnd"/>
    </w:p>
    <w:p w14:paraId="509F3F08" w14:textId="77777777" w:rsidR="00AD6F56" w:rsidRDefault="00AD6F56">
      <w:pPr>
        <w:pStyle w:val="BodyText"/>
        <w:spacing w:before="11"/>
        <w:ind w:left="0"/>
        <w:jc w:val="left"/>
        <w:rPr>
          <w:sz w:val="15"/>
        </w:rPr>
      </w:pPr>
    </w:p>
    <w:p w14:paraId="0841FD50" w14:textId="77777777" w:rsidR="00AD6F56" w:rsidRDefault="008830CC">
      <w:pPr>
        <w:pStyle w:val="BodyText"/>
        <w:spacing w:before="4"/>
        <w:ind w:left="0"/>
        <w:jc w:val="left"/>
        <w:rPr>
          <w:sz w:val="7"/>
        </w:rPr>
      </w:pPr>
      <w:r w:rsidRPr="00EE4897">
        <w:rPr>
          <w:b/>
          <w:bCs/>
          <w:noProof/>
          <w:lang w:bidi="ar-SA"/>
        </w:rPr>
        <mc:AlternateContent>
          <mc:Choice Requires="wps">
            <w:drawing>
              <wp:anchor distT="0" distB="0" distL="114300" distR="114300" simplePos="0" relativeHeight="251661312" behindDoc="0" locked="0" layoutInCell="1" allowOverlap="1" wp14:anchorId="7E646AD1" wp14:editId="6D62CF1B">
                <wp:simplePos x="0" y="0"/>
                <wp:positionH relativeFrom="margin">
                  <wp:posOffset>0</wp:posOffset>
                </wp:positionH>
                <wp:positionV relativeFrom="paragraph">
                  <wp:posOffset>15240</wp:posOffset>
                </wp:positionV>
                <wp:extent cx="6172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9EE8F7" id="Straight Connector 9"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pt" to="4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pKwAEAAMgDAAAOAAAAZHJzL2Uyb0RvYy54bWysU8Fu2zAMvQ/YPwi6L7YDrFuMOD2kWC/F&#10;FqzbB6iyFAuVRIFSY+fvRymJW2zFMAy9yJL43iMfRa+vJ2fZQWE04DveLGrOlJfQG7/v+M8fXz58&#10;5iwm4XthwauOH1Xk15v379ZjaNUSBrC9QkYiPrZj6PiQUmirKspBOREXEJSnoAZ0ItER91WPYiR1&#10;Z6tlXV9VI2AfEKSKkW5vTkG+KfpaK5m+aR1VYrbjVFsqK5b1Ia/VZi3aPYowGHkuQ/xHFU4YT0ln&#10;qRuRBHtC84eUMxIhgk4LCa4CrY1UxQO5aerf3NwPIqjihZoTw9ym+Hay8uthh8z0HV9x5oWjJ7pP&#10;KMx+SGwL3lMDAdkq92kMsSX41u/wfIphh9n0pNHlL9lhU+ntce6tmhKTdHnVfFrSg3EmL7HqmRgw&#10;plsFjuVNx63x2bZoxeEuJkpG0AskX1vPRhq2Vf2xPGCVKzvVUnbpaNUJ9l1p8kbZmyJXpkptLbKD&#10;oHnoH5vsi8StJ2SmaGPtTKr/TjpjM02VSftX4owuGcGnmeiMB3wta5oupeoTnsp+4TVvH6A/lpcp&#10;ARqX4uw82nkeX54L/fkH3PwCAAD//wMAUEsDBBQABgAIAAAAIQD1htDb1gAAAAQBAAAPAAAAZHJz&#10;L2Rvd25yZXYueG1sTI9BT4QwEIXvJv6HZjbx5g6LxlWkbIyGiwejrMZrl45ApFNCu4D/3tGLHr+8&#10;yXvf5LvF9WqiMXSeNWzWCSji2tuOGw2v+/L8GlSIhq3pPZOGLwqwK05PcpNZP/MLTVVslJRwyIyG&#10;NsYhQwx1S86EtR+IJfvwozNRcGzQjmaWctdjmiRX6EzHstCage5bqj+ro9OAjw84VZ6q8vl9frqg&#10;NywtotZnq+XuFlSkJf4dw4++qEMhTgd/ZBtUr0EeiRrSS1AS3mxT4cMvY5Hjf/niGwAA//8DAFBL&#10;AQItABQABgAIAAAAIQC2gziS/gAAAOEBAAATAAAAAAAAAAAAAAAAAAAAAABbQ29udGVudF9UeXBl&#10;c10ueG1sUEsBAi0AFAAGAAgAAAAhADj9If/WAAAAlAEAAAsAAAAAAAAAAAAAAAAALwEAAF9yZWxz&#10;Ly5yZWxzUEsBAi0AFAAGAAgAAAAhAMzeGkrAAQAAyAMAAA4AAAAAAAAAAAAAAAAALgIAAGRycy9l&#10;Mm9Eb2MueG1sUEsBAi0AFAAGAAgAAAAhAPWG0NvWAAAABAEAAA8AAAAAAAAAAAAAAAAAGgQAAGRy&#10;cy9kb3ducmV2LnhtbFBLBQYAAAAABAAEAPMAAAAdBQAAAAA=&#10;" strokecolor="black [3040]" strokeweight="1.5pt">
                <w10:wrap anchorx="margin"/>
              </v:line>
            </w:pict>
          </mc:Fallback>
        </mc:AlternateContent>
      </w:r>
    </w:p>
    <w:p w14:paraId="669F8CA6" w14:textId="77777777" w:rsidR="00AD6F56" w:rsidRDefault="00BF7A81">
      <w:pPr>
        <w:pStyle w:val="Heading1"/>
        <w:spacing w:before="90"/>
        <w:ind w:left="3960"/>
      </w:pPr>
      <w:r>
        <w:t>ABSTRACT</w:t>
      </w:r>
    </w:p>
    <w:p w14:paraId="11E3AB0D" w14:textId="77777777" w:rsidR="00AD6F56" w:rsidRDefault="00AD6F56">
      <w:pPr>
        <w:pStyle w:val="BodyText"/>
        <w:spacing w:before="5"/>
        <w:ind w:left="0"/>
        <w:jc w:val="left"/>
        <w:rPr>
          <w:b/>
          <w:sz w:val="20"/>
        </w:rPr>
      </w:pPr>
    </w:p>
    <w:p w14:paraId="4D38D584" w14:textId="11D2521D" w:rsidR="00546BBD" w:rsidRDefault="00182185" w:rsidP="00F3603B">
      <w:pPr>
        <w:jc w:val="both"/>
        <w:rPr>
          <w:color w:val="000000"/>
          <w:sz w:val="24"/>
          <w:szCs w:val="24"/>
        </w:rPr>
      </w:pPr>
      <w:r w:rsidRPr="00182185">
        <w:rPr>
          <w:color w:val="000000"/>
          <w:sz w:val="24"/>
          <w:szCs w:val="24"/>
        </w:rPr>
        <w:t xml:space="preserve">The iron </w:t>
      </w:r>
      <w:r w:rsidR="00DE6381">
        <w:rPr>
          <w:color w:val="000000"/>
          <w:sz w:val="24"/>
          <w:szCs w:val="24"/>
        </w:rPr>
        <w:t>deficiency</w:t>
      </w:r>
      <w:r w:rsidRPr="00182185">
        <w:rPr>
          <w:color w:val="000000"/>
          <w:sz w:val="24"/>
          <w:szCs w:val="24"/>
        </w:rPr>
        <w:t xml:space="preserve"> an</w:t>
      </w:r>
      <w:r w:rsidR="00DE6381">
        <w:rPr>
          <w:color w:val="000000"/>
          <w:sz w:val="24"/>
          <w:szCs w:val="24"/>
        </w:rPr>
        <w:t>a</w:t>
      </w:r>
      <w:r w:rsidRPr="00182185">
        <w:rPr>
          <w:color w:val="000000"/>
          <w:sz w:val="24"/>
          <w:szCs w:val="24"/>
        </w:rPr>
        <w:t xml:space="preserve">emia status of </w:t>
      </w:r>
      <w:r w:rsidR="00DE6381">
        <w:rPr>
          <w:color w:val="000000"/>
          <w:sz w:val="24"/>
          <w:szCs w:val="24"/>
        </w:rPr>
        <w:t>female</w:t>
      </w:r>
      <w:r w:rsidRPr="00182185">
        <w:rPr>
          <w:color w:val="000000"/>
          <w:sz w:val="24"/>
          <w:szCs w:val="24"/>
        </w:rPr>
        <w:t xml:space="preserve"> </w:t>
      </w:r>
      <w:r w:rsidR="00DE6381">
        <w:rPr>
          <w:color w:val="000000"/>
          <w:sz w:val="24"/>
          <w:szCs w:val="24"/>
        </w:rPr>
        <w:t>adolescents</w:t>
      </w:r>
      <w:r w:rsidRPr="00182185">
        <w:rPr>
          <w:color w:val="000000"/>
          <w:sz w:val="24"/>
          <w:szCs w:val="24"/>
        </w:rPr>
        <w:t xml:space="preserve"> needs attention because of its increasing prevalence and impact on adolescent health today and in the </w:t>
      </w:r>
      <w:r w:rsidR="00DE6381" w:rsidRPr="00182185">
        <w:rPr>
          <w:color w:val="000000"/>
          <w:sz w:val="24"/>
          <w:szCs w:val="24"/>
        </w:rPr>
        <w:t>future, as</w:t>
      </w:r>
      <w:r w:rsidRPr="00182185">
        <w:rPr>
          <w:color w:val="000000"/>
          <w:sz w:val="24"/>
          <w:szCs w:val="24"/>
        </w:rPr>
        <w:t xml:space="preserve"> well as the country's socio-economic </w:t>
      </w:r>
      <w:proofErr w:type="spellStart"/>
      <w:r w:rsidRPr="00182185">
        <w:rPr>
          <w:color w:val="000000"/>
          <w:sz w:val="24"/>
          <w:szCs w:val="24"/>
        </w:rPr>
        <w:t>status.Efforts</w:t>
      </w:r>
      <w:proofErr w:type="spellEnd"/>
      <w:r w:rsidRPr="00182185">
        <w:rPr>
          <w:color w:val="000000"/>
          <w:sz w:val="24"/>
          <w:szCs w:val="24"/>
        </w:rPr>
        <w:t xml:space="preserve"> to reduce cases of </w:t>
      </w:r>
      <w:r w:rsidR="00DE6381" w:rsidRPr="00182185">
        <w:rPr>
          <w:color w:val="000000"/>
          <w:sz w:val="24"/>
          <w:szCs w:val="24"/>
        </w:rPr>
        <w:t>anaemia</w:t>
      </w:r>
      <w:r w:rsidRPr="00182185">
        <w:rPr>
          <w:color w:val="000000"/>
          <w:sz w:val="24"/>
          <w:szCs w:val="24"/>
        </w:rPr>
        <w:t xml:space="preserve"> in </w:t>
      </w:r>
      <w:r w:rsidR="00DE6381">
        <w:rPr>
          <w:color w:val="000000"/>
          <w:sz w:val="24"/>
          <w:szCs w:val="24"/>
        </w:rPr>
        <w:t xml:space="preserve">female adolescent </w:t>
      </w:r>
      <w:r w:rsidRPr="00182185">
        <w:rPr>
          <w:color w:val="000000"/>
          <w:sz w:val="24"/>
          <w:szCs w:val="24"/>
        </w:rPr>
        <w:t xml:space="preserve">need to involve multi-sectoral organizations including </w:t>
      </w:r>
      <w:r w:rsidR="009259EB" w:rsidRPr="00182185">
        <w:rPr>
          <w:color w:val="000000"/>
          <w:sz w:val="24"/>
          <w:szCs w:val="24"/>
        </w:rPr>
        <w:t>community-based</w:t>
      </w:r>
      <w:r w:rsidRPr="00182185">
        <w:rPr>
          <w:color w:val="000000"/>
          <w:sz w:val="24"/>
          <w:szCs w:val="24"/>
        </w:rPr>
        <w:t xml:space="preserve"> organizations (CBO).Karan</w:t>
      </w:r>
      <w:r w:rsidR="004B081B">
        <w:rPr>
          <w:color w:val="000000"/>
          <w:sz w:val="24"/>
          <w:szCs w:val="24"/>
        </w:rPr>
        <w:t>g-</w:t>
      </w:r>
      <w:proofErr w:type="spellStart"/>
      <w:r>
        <w:rPr>
          <w:color w:val="000000"/>
          <w:sz w:val="24"/>
          <w:szCs w:val="24"/>
        </w:rPr>
        <w:t>taruna</w:t>
      </w:r>
      <w:proofErr w:type="spellEnd"/>
      <w:r>
        <w:rPr>
          <w:color w:val="000000"/>
          <w:sz w:val="24"/>
          <w:szCs w:val="24"/>
        </w:rPr>
        <w:t xml:space="preserve"> </w:t>
      </w:r>
      <w:r w:rsidR="004B081B">
        <w:rPr>
          <w:color w:val="000000"/>
          <w:sz w:val="24"/>
          <w:szCs w:val="24"/>
        </w:rPr>
        <w:t>and</w:t>
      </w:r>
      <w:r w:rsidRPr="00182185">
        <w:rPr>
          <w:color w:val="000000"/>
          <w:sz w:val="24"/>
          <w:szCs w:val="24"/>
        </w:rPr>
        <w:t xml:space="preserve"> </w:t>
      </w:r>
      <w:proofErr w:type="spellStart"/>
      <w:r w:rsidRPr="00182185">
        <w:rPr>
          <w:color w:val="000000"/>
          <w:sz w:val="24"/>
          <w:szCs w:val="24"/>
        </w:rPr>
        <w:t>Posyandu</w:t>
      </w:r>
      <w:proofErr w:type="spellEnd"/>
      <w:r w:rsidRPr="00182185">
        <w:rPr>
          <w:color w:val="000000"/>
          <w:sz w:val="24"/>
          <w:szCs w:val="24"/>
        </w:rPr>
        <w:t xml:space="preserve"> cadres</w:t>
      </w:r>
      <w:r w:rsidR="009259EB">
        <w:rPr>
          <w:color w:val="000000"/>
          <w:sz w:val="24"/>
          <w:szCs w:val="24"/>
        </w:rPr>
        <w:t xml:space="preserve"> as CBO</w:t>
      </w:r>
      <w:r w:rsidR="004B081B">
        <w:rPr>
          <w:color w:val="000000"/>
          <w:sz w:val="24"/>
          <w:szCs w:val="24"/>
        </w:rPr>
        <w:t xml:space="preserve">s form </w:t>
      </w:r>
      <w:r w:rsidRPr="00182185">
        <w:rPr>
          <w:color w:val="000000"/>
          <w:sz w:val="24"/>
          <w:szCs w:val="24"/>
        </w:rPr>
        <w:t>in rural areas have the potential to be involved in collaborative programs to improve the an</w:t>
      </w:r>
      <w:r w:rsidR="009259EB">
        <w:rPr>
          <w:color w:val="000000"/>
          <w:sz w:val="24"/>
          <w:szCs w:val="24"/>
        </w:rPr>
        <w:t>a</w:t>
      </w:r>
      <w:r w:rsidRPr="00182185">
        <w:rPr>
          <w:color w:val="000000"/>
          <w:sz w:val="24"/>
          <w:szCs w:val="24"/>
        </w:rPr>
        <w:t xml:space="preserve">emia status of </w:t>
      </w:r>
      <w:r>
        <w:rPr>
          <w:color w:val="000000"/>
          <w:sz w:val="24"/>
          <w:szCs w:val="24"/>
        </w:rPr>
        <w:t>female adolescent</w:t>
      </w:r>
      <w:r w:rsidR="00C624F1">
        <w:rPr>
          <w:color w:val="000000"/>
          <w:sz w:val="24"/>
          <w:szCs w:val="24"/>
        </w:rPr>
        <w:t>s</w:t>
      </w:r>
      <w:r w:rsidRPr="00182185">
        <w:rPr>
          <w:color w:val="000000"/>
          <w:sz w:val="24"/>
          <w:szCs w:val="24"/>
        </w:rPr>
        <w:t xml:space="preserve"> in rural </w:t>
      </w:r>
      <w:proofErr w:type="spellStart"/>
      <w:r w:rsidR="006063D3" w:rsidRPr="00182185">
        <w:rPr>
          <w:color w:val="000000"/>
          <w:sz w:val="24"/>
          <w:szCs w:val="24"/>
        </w:rPr>
        <w:t>areas.Using</w:t>
      </w:r>
      <w:proofErr w:type="spellEnd"/>
      <w:r w:rsidRPr="00182185">
        <w:rPr>
          <w:color w:val="000000"/>
          <w:sz w:val="24"/>
          <w:szCs w:val="24"/>
        </w:rPr>
        <w:t xml:space="preserve"> a cross sectional design with a mixed method </w:t>
      </w:r>
      <w:r w:rsidR="009259EB" w:rsidRPr="00182185">
        <w:rPr>
          <w:color w:val="000000"/>
          <w:sz w:val="24"/>
          <w:szCs w:val="24"/>
        </w:rPr>
        <w:t>approach</w:t>
      </w:r>
      <w:r w:rsidR="009259EB">
        <w:rPr>
          <w:color w:val="000000"/>
          <w:sz w:val="24"/>
          <w:szCs w:val="24"/>
        </w:rPr>
        <w:t xml:space="preserve">, </w:t>
      </w:r>
      <w:r w:rsidR="009259EB" w:rsidRPr="00182185">
        <w:rPr>
          <w:color w:val="000000"/>
          <w:sz w:val="24"/>
          <w:szCs w:val="24"/>
        </w:rPr>
        <w:t>subjects</w:t>
      </w:r>
      <w:r w:rsidRPr="00182185">
        <w:rPr>
          <w:color w:val="000000"/>
          <w:sz w:val="24"/>
          <w:szCs w:val="24"/>
        </w:rPr>
        <w:t xml:space="preserve"> of th</w:t>
      </w:r>
      <w:r>
        <w:rPr>
          <w:color w:val="000000"/>
          <w:sz w:val="24"/>
          <w:szCs w:val="24"/>
        </w:rPr>
        <w:t>is</w:t>
      </w:r>
      <w:r w:rsidRPr="00182185">
        <w:rPr>
          <w:color w:val="000000"/>
          <w:sz w:val="24"/>
          <w:szCs w:val="24"/>
        </w:rPr>
        <w:t xml:space="preserve"> study consisted of key resource persons consisting of a village head, 3 village office</w:t>
      </w:r>
      <w:r>
        <w:rPr>
          <w:color w:val="000000"/>
          <w:sz w:val="24"/>
          <w:szCs w:val="24"/>
        </w:rPr>
        <w:t>r</w:t>
      </w:r>
      <w:r w:rsidRPr="00182185">
        <w:rPr>
          <w:color w:val="000000"/>
          <w:sz w:val="24"/>
          <w:szCs w:val="24"/>
        </w:rPr>
        <w:t>,</w:t>
      </w:r>
      <w:r w:rsidR="004B081B">
        <w:rPr>
          <w:color w:val="000000"/>
          <w:sz w:val="24"/>
          <w:szCs w:val="24"/>
        </w:rPr>
        <w:t xml:space="preserve"> a </w:t>
      </w:r>
      <w:r w:rsidRPr="00182185">
        <w:rPr>
          <w:color w:val="000000"/>
          <w:sz w:val="24"/>
          <w:szCs w:val="24"/>
        </w:rPr>
        <w:t xml:space="preserve">head of </w:t>
      </w:r>
      <w:proofErr w:type="spellStart"/>
      <w:r w:rsidR="004B081B">
        <w:rPr>
          <w:color w:val="000000"/>
          <w:sz w:val="24"/>
          <w:szCs w:val="24"/>
        </w:rPr>
        <w:t>karang</w:t>
      </w:r>
      <w:proofErr w:type="spellEnd"/>
      <w:r w:rsidR="004B081B">
        <w:rPr>
          <w:color w:val="000000"/>
          <w:sz w:val="24"/>
          <w:szCs w:val="24"/>
        </w:rPr>
        <w:t xml:space="preserve"> </w:t>
      </w:r>
      <w:proofErr w:type="spellStart"/>
      <w:r w:rsidR="004B081B">
        <w:rPr>
          <w:color w:val="000000"/>
          <w:sz w:val="24"/>
          <w:szCs w:val="24"/>
        </w:rPr>
        <w:t>taruna</w:t>
      </w:r>
      <w:proofErr w:type="spellEnd"/>
      <w:r w:rsidR="004B081B" w:rsidRPr="00182185">
        <w:rPr>
          <w:color w:val="000000"/>
          <w:sz w:val="24"/>
          <w:szCs w:val="24"/>
        </w:rPr>
        <w:t xml:space="preserve">, </w:t>
      </w:r>
      <w:r w:rsidR="004B081B">
        <w:rPr>
          <w:color w:val="000000"/>
          <w:sz w:val="24"/>
          <w:szCs w:val="24"/>
        </w:rPr>
        <w:t xml:space="preserve">a </w:t>
      </w:r>
      <w:r w:rsidR="004B081B" w:rsidRPr="00182185">
        <w:rPr>
          <w:color w:val="000000"/>
          <w:sz w:val="24"/>
          <w:szCs w:val="24"/>
        </w:rPr>
        <w:t>health</w:t>
      </w:r>
      <w:r w:rsidR="004B081B">
        <w:rPr>
          <w:color w:val="000000"/>
          <w:sz w:val="24"/>
          <w:szCs w:val="24"/>
        </w:rPr>
        <w:t>-</w:t>
      </w:r>
      <w:r w:rsidR="004B081B" w:rsidRPr="00182185">
        <w:rPr>
          <w:color w:val="000000"/>
          <w:sz w:val="24"/>
          <w:szCs w:val="24"/>
        </w:rPr>
        <w:t>centre</w:t>
      </w:r>
      <w:r w:rsidR="004B081B">
        <w:rPr>
          <w:color w:val="000000"/>
          <w:sz w:val="24"/>
          <w:szCs w:val="24"/>
        </w:rPr>
        <w:t xml:space="preserve"> staff</w:t>
      </w:r>
      <w:r w:rsidRPr="00182185">
        <w:rPr>
          <w:color w:val="000000"/>
          <w:sz w:val="24"/>
          <w:szCs w:val="24"/>
        </w:rPr>
        <w:t xml:space="preserve">, 6 </w:t>
      </w:r>
      <w:r w:rsidR="004B081B">
        <w:rPr>
          <w:color w:val="000000"/>
          <w:sz w:val="24"/>
          <w:szCs w:val="24"/>
        </w:rPr>
        <w:t xml:space="preserve">Karang </w:t>
      </w:r>
      <w:proofErr w:type="spellStart"/>
      <w:r w:rsidR="004B081B">
        <w:rPr>
          <w:color w:val="000000"/>
          <w:sz w:val="24"/>
          <w:szCs w:val="24"/>
        </w:rPr>
        <w:t>taruna</w:t>
      </w:r>
      <w:proofErr w:type="spellEnd"/>
      <w:r w:rsidR="004B081B">
        <w:rPr>
          <w:color w:val="000000"/>
          <w:sz w:val="24"/>
          <w:szCs w:val="24"/>
        </w:rPr>
        <w:t xml:space="preserve"> members</w:t>
      </w:r>
      <w:r w:rsidRPr="00182185">
        <w:rPr>
          <w:color w:val="000000"/>
          <w:sz w:val="24"/>
          <w:szCs w:val="24"/>
        </w:rPr>
        <w:t xml:space="preserve"> and 10 </w:t>
      </w:r>
      <w:proofErr w:type="spellStart"/>
      <w:r w:rsidR="00C624F1">
        <w:rPr>
          <w:color w:val="000000"/>
          <w:sz w:val="24"/>
          <w:szCs w:val="24"/>
        </w:rPr>
        <w:t>P</w:t>
      </w:r>
      <w:r w:rsidRPr="00182185">
        <w:rPr>
          <w:color w:val="000000"/>
          <w:sz w:val="24"/>
          <w:szCs w:val="24"/>
        </w:rPr>
        <w:t>osyandu</w:t>
      </w:r>
      <w:proofErr w:type="spellEnd"/>
      <w:r w:rsidRPr="00182185">
        <w:rPr>
          <w:color w:val="000000"/>
          <w:sz w:val="24"/>
          <w:szCs w:val="24"/>
        </w:rPr>
        <w:t xml:space="preserve"> </w:t>
      </w:r>
      <w:proofErr w:type="spellStart"/>
      <w:r w:rsidRPr="00182185">
        <w:rPr>
          <w:color w:val="000000"/>
          <w:sz w:val="24"/>
          <w:szCs w:val="24"/>
        </w:rPr>
        <w:t>cadres.The</w:t>
      </w:r>
      <w:proofErr w:type="spellEnd"/>
      <w:r w:rsidRPr="00182185">
        <w:rPr>
          <w:color w:val="000000"/>
          <w:sz w:val="24"/>
          <w:szCs w:val="24"/>
        </w:rPr>
        <w:t xml:space="preserve"> results showed that the majority of CBO members had less knowledge related to </w:t>
      </w:r>
      <w:r w:rsidR="00F3603B">
        <w:rPr>
          <w:color w:val="000000"/>
          <w:sz w:val="24"/>
          <w:szCs w:val="24"/>
        </w:rPr>
        <w:t xml:space="preserve">female adolescents’ </w:t>
      </w:r>
      <w:r w:rsidRPr="00182185">
        <w:rPr>
          <w:color w:val="000000"/>
          <w:sz w:val="24"/>
          <w:szCs w:val="24"/>
        </w:rPr>
        <w:t>an</w:t>
      </w:r>
      <w:r w:rsidR="00DE6381">
        <w:rPr>
          <w:color w:val="000000"/>
          <w:sz w:val="24"/>
          <w:szCs w:val="24"/>
        </w:rPr>
        <w:t>a</w:t>
      </w:r>
      <w:r w:rsidRPr="00182185">
        <w:rPr>
          <w:color w:val="000000"/>
          <w:sz w:val="24"/>
          <w:szCs w:val="24"/>
        </w:rPr>
        <w:t>emia prevention</w:t>
      </w:r>
      <w:r w:rsidR="00F3603B">
        <w:rPr>
          <w:color w:val="000000"/>
          <w:sz w:val="24"/>
          <w:szCs w:val="24"/>
        </w:rPr>
        <w:t xml:space="preserve"> </w:t>
      </w:r>
      <w:r w:rsidRPr="00182185">
        <w:rPr>
          <w:color w:val="000000"/>
          <w:sz w:val="24"/>
          <w:szCs w:val="24"/>
        </w:rPr>
        <w:t>programs</w:t>
      </w:r>
      <w:r w:rsidR="00F3603B">
        <w:rPr>
          <w:color w:val="000000"/>
          <w:sz w:val="24"/>
          <w:szCs w:val="24"/>
        </w:rPr>
        <w:t xml:space="preserve"> </w:t>
      </w:r>
      <w:r w:rsidRPr="00182185">
        <w:rPr>
          <w:color w:val="000000"/>
          <w:sz w:val="24"/>
          <w:szCs w:val="24"/>
        </w:rPr>
        <w:t>(43.75%). But have a good attitude</w:t>
      </w:r>
      <w:r w:rsidR="004B081B">
        <w:rPr>
          <w:color w:val="000000"/>
          <w:sz w:val="24"/>
          <w:szCs w:val="24"/>
        </w:rPr>
        <w:t xml:space="preserve"> (</w:t>
      </w:r>
      <w:r w:rsidR="006063D3">
        <w:rPr>
          <w:color w:val="000000"/>
          <w:sz w:val="24"/>
          <w:szCs w:val="24"/>
        </w:rPr>
        <w:t>56.25%)</w:t>
      </w:r>
      <w:r w:rsidRPr="00182185">
        <w:rPr>
          <w:color w:val="000000"/>
          <w:sz w:val="24"/>
          <w:szCs w:val="24"/>
        </w:rPr>
        <w:t xml:space="preserve"> and self-efficacy</w:t>
      </w:r>
      <w:r w:rsidR="006063D3">
        <w:rPr>
          <w:color w:val="000000"/>
          <w:sz w:val="24"/>
          <w:szCs w:val="24"/>
        </w:rPr>
        <w:t xml:space="preserve"> (68.75%)</w:t>
      </w:r>
      <w:r w:rsidRPr="00182185">
        <w:rPr>
          <w:color w:val="000000"/>
          <w:sz w:val="24"/>
          <w:szCs w:val="24"/>
        </w:rPr>
        <w:t xml:space="preserve">. </w:t>
      </w:r>
      <w:r w:rsidR="006063D3">
        <w:rPr>
          <w:color w:val="000000"/>
          <w:sz w:val="24"/>
          <w:szCs w:val="24"/>
        </w:rPr>
        <w:t xml:space="preserve">Readiness of </w:t>
      </w:r>
      <w:r w:rsidRPr="00182185">
        <w:rPr>
          <w:color w:val="000000"/>
          <w:sz w:val="24"/>
          <w:szCs w:val="24"/>
        </w:rPr>
        <w:t xml:space="preserve">CBO </w:t>
      </w:r>
      <w:r w:rsidR="006063D3">
        <w:rPr>
          <w:color w:val="000000"/>
          <w:sz w:val="24"/>
          <w:szCs w:val="24"/>
        </w:rPr>
        <w:t>at</w:t>
      </w:r>
      <w:r w:rsidRPr="00182185">
        <w:rPr>
          <w:color w:val="000000"/>
          <w:sz w:val="24"/>
          <w:szCs w:val="24"/>
        </w:rPr>
        <w:t xml:space="preserve"> </w:t>
      </w:r>
      <w:proofErr w:type="spellStart"/>
      <w:r w:rsidRPr="00182185">
        <w:rPr>
          <w:color w:val="000000"/>
          <w:sz w:val="24"/>
          <w:szCs w:val="24"/>
        </w:rPr>
        <w:t>Sirnagalih</w:t>
      </w:r>
      <w:proofErr w:type="spellEnd"/>
      <w:r w:rsidRPr="00182185">
        <w:rPr>
          <w:color w:val="000000"/>
          <w:sz w:val="24"/>
          <w:szCs w:val="24"/>
        </w:rPr>
        <w:t xml:space="preserve"> village </w:t>
      </w:r>
      <w:r w:rsidR="006063D3">
        <w:rPr>
          <w:color w:val="000000"/>
          <w:sz w:val="24"/>
          <w:szCs w:val="24"/>
        </w:rPr>
        <w:t>were</w:t>
      </w:r>
      <w:r w:rsidRPr="00182185">
        <w:rPr>
          <w:color w:val="000000"/>
          <w:sz w:val="24"/>
          <w:szCs w:val="24"/>
        </w:rPr>
        <w:t xml:space="preserve"> at the first level, meaning that CBO members are not aware of the problem of an</w:t>
      </w:r>
      <w:r w:rsidR="00F3603B">
        <w:rPr>
          <w:color w:val="000000"/>
          <w:sz w:val="24"/>
          <w:szCs w:val="24"/>
        </w:rPr>
        <w:t>a</w:t>
      </w:r>
      <w:r w:rsidRPr="00182185">
        <w:rPr>
          <w:color w:val="000000"/>
          <w:sz w:val="24"/>
          <w:szCs w:val="24"/>
        </w:rPr>
        <w:t xml:space="preserve">emia in young women in rural </w:t>
      </w:r>
      <w:r w:rsidR="004B081B" w:rsidRPr="00182185">
        <w:rPr>
          <w:color w:val="000000"/>
          <w:sz w:val="24"/>
          <w:szCs w:val="24"/>
        </w:rPr>
        <w:t>areas.</w:t>
      </w:r>
      <w:r w:rsidR="004B081B">
        <w:rPr>
          <w:color w:val="000000"/>
          <w:sz w:val="24"/>
          <w:szCs w:val="24"/>
        </w:rPr>
        <w:t xml:space="preserve"> </w:t>
      </w:r>
      <w:r w:rsidR="004B081B" w:rsidRPr="00182185">
        <w:rPr>
          <w:color w:val="000000"/>
          <w:sz w:val="24"/>
          <w:szCs w:val="24"/>
        </w:rPr>
        <w:t>It</w:t>
      </w:r>
      <w:r w:rsidRPr="00182185">
        <w:rPr>
          <w:color w:val="000000"/>
          <w:sz w:val="24"/>
          <w:szCs w:val="24"/>
        </w:rPr>
        <w:t xml:space="preserve"> is necessary to make intervention efforts to increase the readiness of CBOs before further collaborative efforts are carried out.</w:t>
      </w:r>
    </w:p>
    <w:p w14:paraId="54B7286B" w14:textId="77777777" w:rsidR="00AD6F56" w:rsidRPr="009267F5" w:rsidRDefault="00AD6F56" w:rsidP="006063D3">
      <w:pPr>
        <w:pStyle w:val="BodyText"/>
        <w:ind w:left="0"/>
        <w:jc w:val="center"/>
      </w:pPr>
    </w:p>
    <w:p w14:paraId="11967AE6" w14:textId="4118F510" w:rsidR="00AD6F56" w:rsidRDefault="00BF7A81">
      <w:pPr>
        <w:pStyle w:val="BodyText"/>
        <w:ind w:left="0"/>
        <w:jc w:val="left"/>
      </w:pPr>
      <w:r w:rsidRPr="009267F5">
        <w:rPr>
          <w:b/>
        </w:rPr>
        <w:t>Keywords</w:t>
      </w:r>
      <w:r w:rsidRPr="009267F5">
        <w:t xml:space="preserve">: </w:t>
      </w:r>
      <w:r w:rsidR="000A7B19">
        <w:t>Anaemia</w:t>
      </w:r>
      <w:r w:rsidR="00961382">
        <w:t xml:space="preserve">; </w:t>
      </w:r>
      <w:r w:rsidR="000A7B19">
        <w:t>Community based organization; Female adolescent; Readiness; WIFAS</w:t>
      </w:r>
    </w:p>
    <w:p w14:paraId="6F0D9F14" w14:textId="77777777" w:rsidR="00AD6F56" w:rsidRDefault="00AD6F56"/>
    <w:p w14:paraId="54F57DDB" w14:textId="12B2C3C9" w:rsidR="006E5DA3" w:rsidRDefault="006E5DA3">
      <w:pPr>
        <w:sectPr w:rsidR="006E5DA3" w:rsidSect="006A7E91">
          <w:headerReference w:type="default" r:id="rId8"/>
          <w:footerReference w:type="default" r:id="rId9"/>
          <w:pgSz w:w="11906" w:h="16838"/>
          <w:pgMar w:top="1440" w:right="1077" w:bottom="1440" w:left="1077" w:header="710" w:footer="850" w:gutter="0"/>
          <w:cols w:space="720"/>
          <w:formProt w:val="0"/>
          <w:docGrid w:linePitch="299" w:charSpace="-2049"/>
        </w:sectPr>
      </w:pPr>
    </w:p>
    <w:p w14:paraId="68EA0C27" w14:textId="77777777" w:rsidR="008830CC" w:rsidRDefault="008830CC">
      <w:pPr>
        <w:pStyle w:val="Heading1"/>
        <w:spacing w:before="92"/>
        <w:ind w:left="0"/>
      </w:pPr>
      <w:r w:rsidRPr="00EE4897">
        <w:rPr>
          <w:b w:val="0"/>
          <w:bCs w:val="0"/>
          <w:noProof/>
          <w:lang w:bidi="ar-SA"/>
        </w:rPr>
        <mc:AlternateContent>
          <mc:Choice Requires="wps">
            <w:drawing>
              <wp:anchor distT="0" distB="0" distL="114300" distR="114300" simplePos="0" relativeHeight="251663360" behindDoc="0" locked="0" layoutInCell="1" allowOverlap="1" wp14:anchorId="02B03054" wp14:editId="379B7FEC">
                <wp:simplePos x="0" y="0"/>
                <wp:positionH relativeFrom="margin">
                  <wp:posOffset>0</wp:posOffset>
                </wp:positionH>
                <wp:positionV relativeFrom="paragraph">
                  <wp:posOffset>135890</wp:posOffset>
                </wp:positionV>
                <wp:extent cx="61722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AD3521" id="Straight Connector 10"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0.7pt" to="48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o9OowEAAJkDAAAOAAAAZHJzL2Uyb0RvYy54bWysU9tu2zAMfR/QfxD03sgOsG4z4vShxfoy&#10;bMUuH6DKVCxMN1Bq7Pz9KCVxim0YhmEvtCTyHPKQ9OZ2dpbtAZMJvuftquEMvAqD8buef/v6/vot&#10;ZylLP0gbPPT8AInfbq9ebabYwTqMwQ6AjEh86qbY8zHn2AmR1AhOplWI4MmpAzqZ6Yo7MaCciN1Z&#10;sW6aGzEFHCIGBSnR6/3RybeVX2tQ+ZPWCTKzPafacrVY7VOxYruR3Q5lHI06lSH/oQonjaekC9W9&#10;zJI9o/mFyhmFIQWdVyo4EbQ2CqoGUtM2P6n5MsoIVQs1J8WlTen/0aqP+zv/iNSGKaYuxUcsKmaN&#10;rnypPjbXZh2WZsGcmaLHm/bNmibAmTr7xAUYMeUHCI6VQ8+t8UWH7OT+Q8qUjELPIeXZejbR9rxr&#10;XteJiEst9ZQPFo5hn0EzM1D2ttLVNYE7i2wvacDD97YMlMitp8gC0cbaBdT8GXSKLTCoq/O3wCW6&#10;Zgw+L0BnfMDfZc3zuVR9jKeyX2gtx6cwHOpkqoPmX5WddrUs2Mt7hV/+qO0PAAAA//8DAFBLAwQU&#10;AAYACAAAACEAHpjt2tgAAAAGAQAADwAAAGRycy9kb3ducmV2LnhtbEyPwU6EQBBE7yb+w6RNvLnN&#10;otEVGTZGw8WDcdGN11mmBSLTQ5hZwL+3jQc9VlWn6nW+XVyvJhpD51nDepWAIq697bjR8PZaXmxA&#10;hWjYmt4zafiiANvi9CQ3mfUz72iqYqOkhENmNLQxDhliqFtyJqz8QCzZhx+diSLHBu1oZil3PaZJ&#10;co3OdCwLrRnooaX6szo6Dfj0iFPlqSpf3ufnS9pjaRG1Pj9b7u9ARVri3zH84As6FMJ08Ee2QfUa&#10;5JGoIV1fgZL09iYV4/BrYJHjf/ziGwAA//8DAFBLAQItABQABgAIAAAAIQC2gziS/gAAAOEBAAAT&#10;AAAAAAAAAAAAAAAAAAAAAABbQ29udGVudF9UeXBlc10ueG1sUEsBAi0AFAAGAAgAAAAhADj9If/W&#10;AAAAlAEAAAsAAAAAAAAAAAAAAAAALwEAAF9yZWxzLy5yZWxzUEsBAi0AFAAGAAgAAAAhADc+j06j&#10;AQAAmQMAAA4AAAAAAAAAAAAAAAAALgIAAGRycy9lMm9Eb2MueG1sUEsBAi0AFAAGAAgAAAAhAB6Y&#10;7drYAAAABgEAAA8AAAAAAAAAAAAAAAAA/QMAAGRycy9kb3ducmV2LnhtbFBLBQYAAAAABAAEAPMA&#10;AAACBQAAAAA=&#10;" strokecolor="black [3040]" strokeweight="1.5pt">
                <w10:wrap anchorx="margin"/>
              </v:line>
            </w:pict>
          </mc:Fallback>
        </mc:AlternateContent>
      </w:r>
    </w:p>
    <w:p w14:paraId="75E12CF3" w14:textId="77777777" w:rsidR="00AD6F56" w:rsidRDefault="00E5363A">
      <w:pPr>
        <w:pStyle w:val="Heading1"/>
        <w:spacing w:before="92"/>
        <w:ind w:left="0"/>
      </w:pPr>
      <w:r>
        <w:t>INTRODUCTION</w:t>
      </w:r>
    </w:p>
    <w:p w14:paraId="2F510F77" w14:textId="6F3D1238" w:rsidR="00FD7C37" w:rsidRDefault="000D601F" w:rsidP="004F4794">
      <w:pPr>
        <w:ind w:firstLine="426"/>
        <w:jc w:val="both"/>
        <w:rPr>
          <w:color w:val="000000"/>
          <w:sz w:val="24"/>
          <w:szCs w:val="24"/>
        </w:rPr>
      </w:pPr>
      <w:r w:rsidRPr="000D601F">
        <w:rPr>
          <w:color w:val="000000"/>
          <w:sz w:val="24"/>
          <w:szCs w:val="24"/>
        </w:rPr>
        <w:t>The biggest contributor to micronutrient problems worldwide</w:t>
      </w:r>
      <w:r>
        <w:rPr>
          <w:color w:val="000000"/>
          <w:sz w:val="24"/>
          <w:szCs w:val="24"/>
        </w:rPr>
        <w:t xml:space="preserve">, particularly in </w:t>
      </w:r>
      <w:r w:rsidR="00C02158">
        <w:rPr>
          <w:color w:val="000000"/>
          <w:sz w:val="24"/>
          <w:szCs w:val="24"/>
        </w:rPr>
        <w:t xml:space="preserve">a </w:t>
      </w:r>
      <w:r>
        <w:rPr>
          <w:color w:val="000000"/>
          <w:sz w:val="24"/>
          <w:szCs w:val="24"/>
        </w:rPr>
        <w:t>developing country</w:t>
      </w:r>
      <w:r w:rsidRPr="000D601F">
        <w:rPr>
          <w:color w:val="000000"/>
          <w:sz w:val="24"/>
          <w:szCs w:val="24"/>
        </w:rPr>
        <w:t xml:space="preserve"> is an</w:t>
      </w:r>
      <w:r w:rsidR="00897988">
        <w:rPr>
          <w:color w:val="000000"/>
          <w:sz w:val="24"/>
          <w:szCs w:val="24"/>
        </w:rPr>
        <w:t>a</w:t>
      </w:r>
      <w:r w:rsidRPr="000D601F">
        <w:rPr>
          <w:color w:val="000000"/>
          <w:sz w:val="24"/>
          <w:szCs w:val="24"/>
        </w:rPr>
        <w:t>emia, which is mainly due to iron</w:t>
      </w:r>
      <w:r w:rsidR="006F189B">
        <w:rPr>
          <w:color w:val="000000"/>
          <w:sz w:val="24"/>
          <w:szCs w:val="24"/>
        </w:rPr>
        <w:t>-folate</w:t>
      </w:r>
      <w:r w:rsidRPr="000D601F">
        <w:rPr>
          <w:color w:val="000000"/>
          <w:sz w:val="24"/>
          <w:szCs w:val="24"/>
        </w:rPr>
        <w:t xml:space="preserve"> deficiency. The prevalence of an</w:t>
      </w:r>
      <w:r w:rsidR="006F189B">
        <w:rPr>
          <w:color w:val="000000"/>
          <w:sz w:val="24"/>
          <w:szCs w:val="24"/>
        </w:rPr>
        <w:t>a</w:t>
      </w:r>
      <w:r w:rsidRPr="000D601F">
        <w:rPr>
          <w:color w:val="000000"/>
          <w:sz w:val="24"/>
          <w:szCs w:val="24"/>
        </w:rPr>
        <w:t>emia occurs in all age groups, but women of childbearing age, including adolescent girls, are the highest group of people with an</w:t>
      </w:r>
      <w:r w:rsidR="006F189B">
        <w:rPr>
          <w:color w:val="000000"/>
          <w:sz w:val="24"/>
          <w:szCs w:val="24"/>
        </w:rPr>
        <w:t>a</w:t>
      </w:r>
      <w:r w:rsidRPr="000D601F">
        <w:rPr>
          <w:color w:val="000000"/>
          <w:sz w:val="24"/>
          <w:szCs w:val="24"/>
        </w:rPr>
        <w:t>emia</w:t>
      </w:r>
      <w:r w:rsidR="00FD7C37" w:rsidRPr="00B60903">
        <w:rPr>
          <w:color w:val="000000"/>
          <w:sz w:val="24"/>
          <w:szCs w:val="24"/>
          <w:vertAlign w:val="superscript"/>
        </w:rPr>
        <w:fldChar w:fldCharType="begin" w:fldLock="1"/>
      </w:r>
      <w:r w:rsidR="00B60903" w:rsidRPr="00B60903">
        <w:rPr>
          <w:color w:val="000000"/>
          <w:sz w:val="24"/>
          <w:szCs w:val="24"/>
          <w:vertAlign w:val="superscript"/>
        </w:rPr>
        <w:instrText>ADDIN CSL_CITATION {"citationItems":[{"id":"ITEM-1","itemData":{"DOI":"10.4103/jfmpc.jfmpc","ISBN":"2249-4863 (Print) 2249-4863 (Linking)","ISSN":"2249-4863","PMID":"29026777","author":[{"dropping-particle":"","family":"Chandrakumari","given":"AS","non-dropping-particle":"","parse-names":false,"suffix":""},{"dropping-particle":"","family":"Sinha","given":"Pammy","non-dropping-particle":"","parse-names":false,"suffix":""},{"dropping-particle":"","family":"Singaravelu","given":"Shreelakshmidevi","non-dropping-particle":"","parse-names":false,"suffix":""},{"dropping-particle":"","family":"S","given":"Jaikumar","non-dropping-particle":"","parse-names":false,"suffix":""}],"container-title":"Journal of Family Medicine and Primary Care","id":"ITEM-1","issue":"4","issued":{"date-parts":[["2019"]]},"page":"1414-1417","title":"Prevalence of Anemia Among Adolescent Girls in a Rural Area of Tamil Nadu, India","type":"article-journal","volume":"8"},"uris":["http://www.mendeley.com/documents/?uuid=e5d6a307-a080-4cf9-b991-6d9aaead0d38"]}],"mendeley":{"formattedCitation":"(1)","manualFormatting":"1","plainTextFormattedCitation":"(1)","previouslyFormattedCitation":"(1)"},"properties":{"noteIndex":0},"schema":"https://github.com/citation-style-language/schema/raw/master/csl-citation.json"}</w:instrText>
      </w:r>
      <w:r w:rsidR="00FD7C37" w:rsidRPr="00B60903">
        <w:rPr>
          <w:color w:val="000000"/>
          <w:sz w:val="24"/>
          <w:szCs w:val="24"/>
          <w:vertAlign w:val="superscript"/>
        </w:rPr>
        <w:fldChar w:fldCharType="separate"/>
      </w:r>
      <w:r w:rsidR="009A5CF3" w:rsidRPr="00B60903">
        <w:rPr>
          <w:noProof/>
          <w:color w:val="000000"/>
          <w:sz w:val="24"/>
          <w:szCs w:val="24"/>
          <w:vertAlign w:val="superscript"/>
        </w:rPr>
        <w:t>1</w:t>
      </w:r>
      <w:r w:rsidR="00FD7C37" w:rsidRPr="00B60903">
        <w:rPr>
          <w:color w:val="000000"/>
          <w:sz w:val="24"/>
          <w:szCs w:val="24"/>
          <w:vertAlign w:val="superscript"/>
        </w:rPr>
        <w:fldChar w:fldCharType="end"/>
      </w:r>
      <w:r w:rsidR="00FD7C37">
        <w:rPr>
          <w:color w:val="000000"/>
          <w:sz w:val="24"/>
          <w:szCs w:val="24"/>
        </w:rPr>
        <w:t>.</w:t>
      </w:r>
    </w:p>
    <w:p w14:paraId="4F167E74" w14:textId="5A75393D" w:rsidR="00FD7C37" w:rsidRDefault="009A5CF3" w:rsidP="001F595E">
      <w:pPr>
        <w:ind w:firstLine="426"/>
        <w:jc w:val="both"/>
        <w:rPr>
          <w:color w:val="000000"/>
          <w:sz w:val="24"/>
          <w:szCs w:val="24"/>
        </w:rPr>
      </w:pPr>
      <w:r w:rsidRPr="009A5CF3">
        <w:rPr>
          <w:color w:val="000000"/>
          <w:sz w:val="24"/>
          <w:szCs w:val="24"/>
        </w:rPr>
        <w:t>Women of childbearing age and adolescent girls who suffer from an</w:t>
      </w:r>
      <w:r>
        <w:rPr>
          <w:color w:val="000000"/>
          <w:sz w:val="24"/>
          <w:szCs w:val="24"/>
        </w:rPr>
        <w:t>a</w:t>
      </w:r>
      <w:r w:rsidRPr="009A5CF3">
        <w:rPr>
          <w:color w:val="000000"/>
          <w:sz w:val="24"/>
          <w:szCs w:val="24"/>
        </w:rPr>
        <w:t>emia can develop an</w:t>
      </w:r>
      <w:r>
        <w:rPr>
          <w:color w:val="000000"/>
          <w:sz w:val="24"/>
          <w:szCs w:val="24"/>
        </w:rPr>
        <w:t>a</w:t>
      </w:r>
      <w:r w:rsidRPr="009A5CF3">
        <w:rPr>
          <w:color w:val="000000"/>
          <w:sz w:val="24"/>
          <w:szCs w:val="24"/>
        </w:rPr>
        <w:t>emia during pregnancy and are at risk for bleeding or giving birth to babies with low birth weight.</w:t>
      </w:r>
      <w:r w:rsidRPr="00B60903">
        <w:rPr>
          <w:color w:val="000000"/>
          <w:sz w:val="24"/>
          <w:szCs w:val="24"/>
          <w:vertAlign w:val="superscript"/>
        </w:rPr>
        <w:fldChar w:fldCharType="begin" w:fldLock="1"/>
      </w:r>
      <w:r w:rsidR="00B60903" w:rsidRPr="00B60903">
        <w:rPr>
          <w:color w:val="000000"/>
          <w:sz w:val="24"/>
          <w:szCs w:val="24"/>
          <w:vertAlign w:val="superscript"/>
        </w:rPr>
        <w:instrText>ADDIN CSL_CITATION {"citationItems":[{"id":"ITEM-1","itemData":{"DOI":"10.15537/smj.2015.2.10289","ISSN":"16583175","PMID":"25719576","abstract":"Iron deficiency anemia is extremely common, particularly in the developing world, reaching a state of global epidemic. Iron deficiency during pregnancy is one of the leading causes of anemia in infants and young children. Many women go through the entire pregnancy without attaining the minimum required intake of iron. This review aims to determine the impact of maternal iron deficiency and iron deficiency anemia on infants and young children. Extensive literature review revealed that iron deficiency is a global nutritional problem affecting up to 52% of pregnant women. Many of these women are symptomatic. Lack of proper weight gain during pregnancy is an important predictor of iron deficiency.","author":[{"dropping-particle":"","family":"Abu-Ouf","given":"Noran M.","non-dropping-particle":"","parse-names":false,"suffix":""},{"dropping-particle":"","family":"Jan","given":"Mohammed M.","non-dropping-particle":"","parse-names":false,"suffix":""}],"container-title":"Saudi Medical Journal","id":"ITEM-1","issue":"2","issued":{"date-parts":[["2015"]]},"page":"146-149","title":"The impact of maternal iron deficiency and iron deficiency anemia on child’s health","type":"article-journal","volume":"36"},"uris":["http://www.mendeley.com/documents/?uuid=3607b1ad-722e-4907-aae4-669489f4c0ee"]}],"mendeley":{"formattedCitation":"(2)","manualFormatting":"2","plainTextFormattedCitation":"(2)","previouslyFormattedCitation":"(2)"},"properties":{"noteIndex":0},"schema":"https://github.com/citation-style-language/schema/raw/master/csl-citation.json"}</w:instrText>
      </w:r>
      <w:r w:rsidRPr="00B60903">
        <w:rPr>
          <w:color w:val="000000"/>
          <w:sz w:val="24"/>
          <w:szCs w:val="24"/>
          <w:vertAlign w:val="superscript"/>
        </w:rPr>
        <w:fldChar w:fldCharType="separate"/>
      </w:r>
      <w:r w:rsidRPr="00B60903">
        <w:rPr>
          <w:noProof/>
          <w:color w:val="000000"/>
          <w:sz w:val="24"/>
          <w:szCs w:val="24"/>
          <w:vertAlign w:val="superscript"/>
        </w:rPr>
        <w:t>2</w:t>
      </w:r>
      <w:r w:rsidRPr="00B60903">
        <w:rPr>
          <w:color w:val="000000"/>
          <w:sz w:val="24"/>
          <w:szCs w:val="24"/>
          <w:vertAlign w:val="superscript"/>
        </w:rPr>
        <w:fldChar w:fldCharType="end"/>
      </w:r>
      <w:r w:rsidR="0061456E">
        <w:rPr>
          <w:color w:val="000000"/>
          <w:sz w:val="24"/>
          <w:szCs w:val="24"/>
        </w:rPr>
        <w:t xml:space="preserve"> </w:t>
      </w:r>
      <w:r w:rsidR="0061456E" w:rsidRPr="0061456E">
        <w:rPr>
          <w:color w:val="000000"/>
          <w:sz w:val="24"/>
          <w:szCs w:val="24"/>
        </w:rPr>
        <w:t>Therefore, an</w:t>
      </w:r>
      <w:r w:rsidR="0061456E">
        <w:rPr>
          <w:color w:val="000000"/>
          <w:sz w:val="24"/>
          <w:szCs w:val="24"/>
        </w:rPr>
        <w:t>a</w:t>
      </w:r>
      <w:r w:rsidR="0061456E" w:rsidRPr="0061456E">
        <w:rPr>
          <w:color w:val="000000"/>
          <w:sz w:val="24"/>
          <w:szCs w:val="24"/>
        </w:rPr>
        <w:t>emia in adolescent girls and women of childbearing age must be prevented, one of which is the iron-folate supplementation program.</w:t>
      </w:r>
      <w:r w:rsidR="0061456E">
        <w:rPr>
          <w:color w:val="000000"/>
          <w:sz w:val="24"/>
          <w:szCs w:val="24"/>
        </w:rPr>
        <w:t xml:space="preserve"> I</w:t>
      </w:r>
      <w:r w:rsidR="0061456E" w:rsidRPr="0061456E">
        <w:rPr>
          <w:color w:val="000000"/>
          <w:sz w:val="24"/>
          <w:szCs w:val="24"/>
        </w:rPr>
        <w:t xml:space="preserve">n </w:t>
      </w:r>
      <w:r w:rsidR="0061456E" w:rsidRPr="0061456E">
        <w:rPr>
          <w:color w:val="000000"/>
          <w:sz w:val="24"/>
          <w:szCs w:val="24"/>
        </w:rPr>
        <w:t>accordance with the W</w:t>
      </w:r>
      <w:r w:rsidR="0061456E">
        <w:rPr>
          <w:color w:val="000000"/>
          <w:sz w:val="24"/>
          <w:szCs w:val="24"/>
        </w:rPr>
        <w:t xml:space="preserve">orld </w:t>
      </w:r>
      <w:r w:rsidR="0061456E" w:rsidRPr="0061456E">
        <w:rPr>
          <w:color w:val="000000"/>
          <w:sz w:val="24"/>
          <w:szCs w:val="24"/>
        </w:rPr>
        <w:t>H</w:t>
      </w:r>
      <w:r w:rsidR="0061456E">
        <w:rPr>
          <w:color w:val="000000"/>
          <w:sz w:val="24"/>
          <w:szCs w:val="24"/>
        </w:rPr>
        <w:t xml:space="preserve">ealth </w:t>
      </w:r>
      <w:r w:rsidR="0061456E" w:rsidRPr="0061456E">
        <w:rPr>
          <w:color w:val="000000"/>
          <w:sz w:val="24"/>
          <w:szCs w:val="24"/>
        </w:rPr>
        <w:t>O</w:t>
      </w:r>
      <w:r w:rsidR="0061456E">
        <w:rPr>
          <w:color w:val="000000"/>
          <w:sz w:val="24"/>
          <w:szCs w:val="24"/>
        </w:rPr>
        <w:t>rganization</w:t>
      </w:r>
      <w:r w:rsidR="0061456E" w:rsidRPr="0061456E">
        <w:rPr>
          <w:color w:val="000000"/>
          <w:sz w:val="24"/>
          <w:szCs w:val="24"/>
        </w:rPr>
        <w:t xml:space="preserve"> program</w:t>
      </w:r>
      <w:r w:rsidR="0061456E">
        <w:rPr>
          <w:color w:val="000000"/>
          <w:sz w:val="24"/>
          <w:szCs w:val="24"/>
        </w:rPr>
        <w:t xml:space="preserve"> (2011)</w:t>
      </w:r>
      <w:r w:rsidR="0061456E" w:rsidRPr="0061456E">
        <w:rPr>
          <w:color w:val="000000"/>
          <w:sz w:val="24"/>
          <w:szCs w:val="24"/>
        </w:rPr>
        <w:t xml:space="preserve">, the Indonesian Ministry of Health launched a weekly iron folate supplementation program for </w:t>
      </w:r>
      <w:r w:rsidR="00C02158">
        <w:rPr>
          <w:color w:val="000000"/>
          <w:sz w:val="24"/>
          <w:szCs w:val="24"/>
        </w:rPr>
        <w:t xml:space="preserve">female </w:t>
      </w:r>
      <w:r w:rsidR="0061456E" w:rsidRPr="0061456E">
        <w:rPr>
          <w:color w:val="000000"/>
          <w:sz w:val="24"/>
          <w:szCs w:val="24"/>
        </w:rPr>
        <w:t>adolescent</w:t>
      </w:r>
      <w:r w:rsidR="00C02158">
        <w:rPr>
          <w:color w:val="000000"/>
          <w:sz w:val="24"/>
          <w:szCs w:val="24"/>
        </w:rPr>
        <w:t>s</w:t>
      </w:r>
      <w:r w:rsidR="0061456E" w:rsidRPr="0061456E">
        <w:rPr>
          <w:color w:val="000000"/>
          <w:sz w:val="24"/>
          <w:szCs w:val="24"/>
        </w:rPr>
        <w:t xml:space="preserve"> and women of childbearing age</w:t>
      </w:r>
      <w:r w:rsidR="0061456E">
        <w:rPr>
          <w:color w:val="000000"/>
          <w:sz w:val="24"/>
          <w:szCs w:val="24"/>
        </w:rPr>
        <w:t xml:space="preserve"> </w:t>
      </w:r>
      <w:r w:rsidR="00C02158">
        <w:rPr>
          <w:color w:val="000000"/>
          <w:sz w:val="24"/>
          <w:szCs w:val="24"/>
        </w:rPr>
        <w:t>in</w:t>
      </w:r>
      <w:r w:rsidR="0061456E">
        <w:rPr>
          <w:color w:val="000000"/>
          <w:sz w:val="24"/>
          <w:szCs w:val="24"/>
        </w:rPr>
        <w:t xml:space="preserve"> 201</w:t>
      </w:r>
      <w:r w:rsidR="001F6503">
        <w:rPr>
          <w:color w:val="000000"/>
          <w:sz w:val="24"/>
          <w:szCs w:val="24"/>
        </w:rPr>
        <w:t>4</w:t>
      </w:r>
      <w:r w:rsidR="0061456E">
        <w:rPr>
          <w:color w:val="000000"/>
          <w:sz w:val="24"/>
          <w:szCs w:val="24"/>
        </w:rPr>
        <w:fldChar w:fldCharType="begin" w:fldLock="1"/>
      </w:r>
      <w:r w:rsidR="00E700F1">
        <w:rPr>
          <w:color w:val="000000"/>
          <w:sz w:val="24"/>
          <w:szCs w:val="24"/>
        </w:rPr>
        <w:instrText>ADDIN CSL_CITATION {"citationItems":[{"id":"ITEM-1","itemData":{"author":[{"dropping-particle":"","family":"Kemenkes","given":"","non-dropping-particle":"","parse-names":false,"suffix":""}],"id":"ITEM-1","issued":{"date-parts":[["2016"]]},"number-of-pages":"14","title":"Pedoman pencegahan dan penanggulanngan anemia pada remaja putri dan wanita usia subur (WUS)","type":"book"},"uris":["http://www.mendeley.com/documents/?uuid=4dcfa053-20b7-4924-ba10-d9bae5d845d2"]}],"mendeley":{"formattedCitation":"(3)","manualFormatting":".3","plainTextFormattedCitation":"(3)","previouslyFormattedCitation":"(3)"},"properties":{"noteIndex":0},"schema":"https://github.com/citation-style-language/schema/raw/master/csl-citation.json"}</w:instrText>
      </w:r>
      <w:r w:rsidR="0061456E">
        <w:rPr>
          <w:color w:val="000000"/>
          <w:sz w:val="24"/>
          <w:szCs w:val="24"/>
        </w:rPr>
        <w:fldChar w:fldCharType="separate"/>
      </w:r>
      <w:r w:rsidR="00E700F1">
        <w:rPr>
          <w:noProof/>
          <w:color w:val="000000"/>
          <w:sz w:val="24"/>
          <w:szCs w:val="24"/>
        </w:rPr>
        <w:t>.</w:t>
      </w:r>
      <w:r w:rsidR="0061456E" w:rsidRPr="00E700F1">
        <w:rPr>
          <w:noProof/>
          <w:color w:val="000000"/>
          <w:sz w:val="24"/>
          <w:szCs w:val="24"/>
          <w:vertAlign w:val="superscript"/>
        </w:rPr>
        <w:t>3</w:t>
      </w:r>
      <w:r w:rsidR="0061456E">
        <w:rPr>
          <w:color w:val="000000"/>
          <w:sz w:val="24"/>
          <w:szCs w:val="24"/>
        </w:rPr>
        <w:fldChar w:fldCharType="end"/>
      </w:r>
      <w:r w:rsidR="0061456E" w:rsidRPr="0061456E">
        <w:rPr>
          <w:color w:val="000000"/>
          <w:sz w:val="24"/>
          <w:szCs w:val="24"/>
        </w:rPr>
        <w:t>.</w:t>
      </w:r>
      <w:r w:rsidR="00D67CD7">
        <w:rPr>
          <w:color w:val="000000"/>
          <w:sz w:val="24"/>
          <w:szCs w:val="24"/>
        </w:rPr>
        <w:t xml:space="preserve"> </w:t>
      </w:r>
    </w:p>
    <w:p w14:paraId="742CCA44" w14:textId="53F20E1F" w:rsidR="00E71E9B" w:rsidRDefault="00D67CD7" w:rsidP="004F4794">
      <w:pPr>
        <w:ind w:firstLine="426"/>
        <w:jc w:val="both"/>
        <w:rPr>
          <w:color w:val="000000"/>
          <w:sz w:val="24"/>
          <w:szCs w:val="24"/>
        </w:rPr>
      </w:pPr>
      <w:r w:rsidRPr="00D67CD7">
        <w:rPr>
          <w:color w:val="000000"/>
          <w:sz w:val="24"/>
          <w:szCs w:val="24"/>
        </w:rPr>
        <w:t>In developing countries, a</w:t>
      </w:r>
      <w:r>
        <w:rPr>
          <w:color w:val="000000"/>
          <w:sz w:val="24"/>
          <w:szCs w:val="24"/>
        </w:rPr>
        <w:t xml:space="preserve"> school</w:t>
      </w:r>
      <w:r w:rsidR="00C02158">
        <w:rPr>
          <w:color w:val="000000"/>
          <w:sz w:val="24"/>
          <w:szCs w:val="24"/>
        </w:rPr>
        <w:t>-</w:t>
      </w:r>
      <w:r>
        <w:rPr>
          <w:color w:val="000000"/>
          <w:sz w:val="24"/>
          <w:szCs w:val="24"/>
        </w:rPr>
        <w:t>based</w:t>
      </w:r>
      <w:r w:rsidRPr="00D67CD7">
        <w:rPr>
          <w:color w:val="000000"/>
          <w:sz w:val="24"/>
          <w:szCs w:val="24"/>
        </w:rPr>
        <w:t xml:space="preserve"> weekly program of iron and folic acid </w:t>
      </w:r>
      <w:r>
        <w:rPr>
          <w:color w:val="000000"/>
          <w:sz w:val="24"/>
          <w:szCs w:val="24"/>
        </w:rPr>
        <w:t>supplementation (</w:t>
      </w:r>
      <w:r w:rsidR="00B9403A">
        <w:rPr>
          <w:color w:val="000000"/>
          <w:sz w:val="24"/>
          <w:szCs w:val="24"/>
        </w:rPr>
        <w:t>W</w:t>
      </w:r>
      <w:r>
        <w:rPr>
          <w:color w:val="000000"/>
          <w:sz w:val="24"/>
          <w:szCs w:val="24"/>
        </w:rPr>
        <w:t>IFAS)</w:t>
      </w:r>
      <w:r w:rsidRPr="00D67CD7">
        <w:rPr>
          <w:color w:val="000000"/>
          <w:sz w:val="24"/>
          <w:szCs w:val="24"/>
        </w:rPr>
        <w:t xml:space="preserve"> for </w:t>
      </w:r>
      <w:r>
        <w:rPr>
          <w:color w:val="000000"/>
          <w:sz w:val="24"/>
          <w:szCs w:val="24"/>
        </w:rPr>
        <w:t>female adoles</w:t>
      </w:r>
      <w:r w:rsidR="00C02158">
        <w:rPr>
          <w:color w:val="000000"/>
          <w:sz w:val="24"/>
          <w:szCs w:val="24"/>
        </w:rPr>
        <w:t>c</w:t>
      </w:r>
      <w:r>
        <w:rPr>
          <w:color w:val="000000"/>
          <w:sz w:val="24"/>
          <w:szCs w:val="24"/>
        </w:rPr>
        <w:t>ence</w:t>
      </w:r>
      <w:r w:rsidRPr="00D67CD7">
        <w:rPr>
          <w:color w:val="000000"/>
          <w:sz w:val="24"/>
          <w:szCs w:val="24"/>
        </w:rPr>
        <w:t xml:space="preserve"> is seen as a key intervention to prevent an</w:t>
      </w:r>
      <w:r>
        <w:rPr>
          <w:color w:val="000000"/>
          <w:sz w:val="24"/>
          <w:szCs w:val="24"/>
        </w:rPr>
        <w:t>a</w:t>
      </w:r>
      <w:r w:rsidRPr="00D67CD7">
        <w:rPr>
          <w:color w:val="000000"/>
          <w:sz w:val="24"/>
          <w:szCs w:val="24"/>
        </w:rPr>
        <w:t>emia and improve folic acid status. This strategy is universally applicable to reduce the risk of “forgetting to take iron”</w:t>
      </w:r>
      <w:r w:rsidR="00E700F1">
        <w:rPr>
          <w:color w:val="000000"/>
          <w:sz w:val="24"/>
          <w:szCs w:val="24"/>
        </w:rPr>
        <w:t>.</w:t>
      </w:r>
      <w:r w:rsidRPr="00E700F1">
        <w:rPr>
          <w:color w:val="000000"/>
          <w:sz w:val="24"/>
          <w:szCs w:val="24"/>
          <w:vertAlign w:val="superscript"/>
        </w:rPr>
        <w:fldChar w:fldCharType="begin" w:fldLock="1"/>
      </w:r>
      <w:r w:rsidR="00E700F1" w:rsidRPr="00E700F1">
        <w:rPr>
          <w:color w:val="000000"/>
          <w:sz w:val="24"/>
          <w:szCs w:val="24"/>
          <w:vertAlign w:val="superscript"/>
        </w:rPr>
        <w:instrText>ADDIN CSL_CITATION {"citationItems":[{"id":"ITEM-1","itemData":{"DOI":"10.1017/S1368980008002401","ISBN":"9789241596657","ISSN":"1368-9800","PMID":"18498676","abstract":"Anaemia is a public health problem that affects populations in both rich and poor countries. Although the primary cause is iron deficiency, it is seldom present in isolation. More frequently it coexists with a number of other causes, such as malaria, parasitic infection, nutritional deficiencies, and haemoglobinopathies.","author":[{"dropping-particle":"","family":"World Health Organization","given":"","non-dropping-particle":"","parse-names":false,"suffix":""}],"container-title":"WHO Report","id":"ITEM-1","issued":{"date-parts":[["2015"]]},"page":"48","title":"the Global Prevalence of Anaemia in 2011","type":"article-journal"},"uris":["http://www.mendeley.com/documents/?uuid=8bb4be00-0ffb-43d9-ab70-3b622534a91d"]}],"mendeley":{"formattedCitation":"(4)","manualFormatting":"4","plainTextFormattedCitation":"(4)","previouslyFormattedCitation":"(4)"},"properties":{"noteIndex":0},"schema":"https://github.com/citation-style-language/schema/raw/master/csl-citation.json"}</w:instrText>
      </w:r>
      <w:r w:rsidRPr="00E700F1">
        <w:rPr>
          <w:color w:val="000000"/>
          <w:sz w:val="24"/>
          <w:szCs w:val="24"/>
          <w:vertAlign w:val="superscript"/>
        </w:rPr>
        <w:fldChar w:fldCharType="separate"/>
      </w:r>
      <w:r w:rsidRPr="00E700F1">
        <w:rPr>
          <w:noProof/>
          <w:color w:val="000000"/>
          <w:sz w:val="24"/>
          <w:szCs w:val="24"/>
          <w:vertAlign w:val="superscript"/>
        </w:rPr>
        <w:t>4</w:t>
      </w:r>
      <w:r w:rsidRPr="00E700F1">
        <w:rPr>
          <w:color w:val="000000"/>
          <w:sz w:val="24"/>
          <w:szCs w:val="24"/>
          <w:vertAlign w:val="superscript"/>
        </w:rPr>
        <w:fldChar w:fldCharType="end"/>
      </w:r>
      <w:r w:rsidR="00E71E9B">
        <w:rPr>
          <w:color w:val="000000"/>
          <w:sz w:val="24"/>
          <w:szCs w:val="24"/>
        </w:rPr>
        <w:t xml:space="preserve"> S</w:t>
      </w:r>
      <w:r w:rsidR="00E71E9B" w:rsidRPr="00E71E9B">
        <w:rPr>
          <w:color w:val="000000"/>
          <w:sz w:val="24"/>
          <w:szCs w:val="24"/>
        </w:rPr>
        <w:t>chool readiness in implementing the school</w:t>
      </w:r>
      <w:r w:rsidR="00C02158">
        <w:rPr>
          <w:color w:val="000000"/>
          <w:sz w:val="24"/>
          <w:szCs w:val="24"/>
        </w:rPr>
        <w:t>-</w:t>
      </w:r>
      <w:r w:rsidR="00E71E9B" w:rsidRPr="00E71E9B">
        <w:rPr>
          <w:color w:val="000000"/>
          <w:sz w:val="24"/>
          <w:szCs w:val="24"/>
        </w:rPr>
        <w:t xml:space="preserve"> based </w:t>
      </w:r>
      <w:proofErr w:type="spellStart"/>
      <w:r w:rsidR="00B9403A">
        <w:rPr>
          <w:color w:val="000000"/>
          <w:sz w:val="24"/>
          <w:szCs w:val="24"/>
        </w:rPr>
        <w:t>W</w:t>
      </w:r>
      <w:r w:rsidR="00E71E9B" w:rsidRPr="00E71E9B">
        <w:rPr>
          <w:color w:val="000000"/>
          <w:sz w:val="24"/>
          <w:szCs w:val="24"/>
        </w:rPr>
        <w:t>ifas</w:t>
      </w:r>
      <w:proofErr w:type="spellEnd"/>
      <w:r w:rsidR="00E71E9B" w:rsidRPr="00E71E9B">
        <w:rPr>
          <w:color w:val="000000"/>
          <w:sz w:val="24"/>
          <w:szCs w:val="24"/>
        </w:rPr>
        <w:t xml:space="preserve"> program is very necessary for the effectiveness of the </w:t>
      </w:r>
      <w:proofErr w:type="spellStart"/>
      <w:r w:rsidR="00E71E9B" w:rsidRPr="00E71E9B">
        <w:rPr>
          <w:color w:val="000000"/>
          <w:sz w:val="24"/>
          <w:szCs w:val="24"/>
        </w:rPr>
        <w:t>anemia</w:t>
      </w:r>
      <w:proofErr w:type="spellEnd"/>
      <w:r w:rsidR="00E71E9B" w:rsidRPr="00E71E9B">
        <w:rPr>
          <w:color w:val="000000"/>
          <w:sz w:val="24"/>
          <w:szCs w:val="24"/>
        </w:rPr>
        <w:t xml:space="preserve"> prevention and control program in adolescent girls</w:t>
      </w:r>
      <w:r w:rsidR="00E700F1">
        <w:rPr>
          <w:color w:val="000000"/>
          <w:sz w:val="24"/>
          <w:szCs w:val="24"/>
        </w:rPr>
        <w:t>.</w:t>
      </w:r>
      <w:r w:rsidR="00E71E9B" w:rsidRPr="00E700F1">
        <w:rPr>
          <w:color w:val="000000"/>
          <w:sz w:val="24"/>
          <w:szCs w:val="24"/>
          <w:vertAlign w:val="superscript"/>
        </w:rPr>
        <w:fldChar w:fldCharType="begin" w:fldLock="1"/>
      </w:r>
      <w:r w:rsidR="00E700F1" w:rsidRPr="00E700F1">
        <w:rPr>
          <w:color w:val="000000"/>
          <w:sz w:val="24"/>
          <w:szCs w:val="24"/>
          <w:vertAlign w:val="superscript"/>
        </w:rPr>
        <w:instrText>ADDIN CSL_CITATION {"citationItems":[{"id":"ITEM-1","itemData":{"DOI":"doi: 10.20473/amnt. v4i4.2020.290-298","author":[{"dropping-particle":"","family":"Apriningsih","given":"","non-dropping-particle":"","parse-names":false,"suffix":""},{"dropping-particle":"","family":"Madanijah","given":"Siti","non-dropping-particle":"","parse-names":false,"suffix":""},{"dropping-particle":"","family":"Dwiriani","given":"Cesilia M","non-dropping-particle":"","parse-names":false,"suffix":""},{"dropping-particle":"","family":"Kolopaking","given":"Risatianti","non-dropping-particle":"","parse-names":false,"suffix":""},{"dropping-particle":"","family":"Crosita","given":"Yessi","non-dropping-particle":"","parse-names":false,"suffix":""}],"container-title":"Amerta Nutrition","id":"ITEM-1","issue":"4","issued":{"date-parts":[["2020"]]},"page":"290-298","title":"School Readiness in Weekly iron Folic Acid Supplementation Program in Urban Area, West Java, Indonesia","type":"article-journal","volume":"4"},"uris":["http://www.mendeley.com/documents/?uuid=65537b99-4453-4b69-a8d1-e8bb09bc1ab2"]},{"id":"ITEM-2","itemData":{"DOI":"10.3177/jnsv.66.S369","ISSN":"18817742","PMID":"33612627","abstract":"Anemia is one of the major problems among female adolescents in Indonesia. Weekly iron-folic acid supplementation was a cost-effective measure to tackle adolescent anemia. However, adherence to the supplementation is low. This study was aimed to explore the determinants of t highschool females’ adherence to consume iron-folic acid tablets. Using cross sectional design with 274 subjects. After obtaining consent the data were col-lected, coded and analysed using SPSS23. The inclusion criteria were high school female from 18 schools which had iron tablets program. The majority of subjects was 14–16 y old (73.7%). The majority of schools gave iron tablets to students without organizing taking iron tablets together (63.5%). The adherence to consume iron and folic acid tablets in this study was 45.6% (n=​125). Almost half of highschool female (36.1%) cited they did not think that iron tablets are necessary while 12.4% cited experiencing side effects. Factors that were correlated (p&lt;​0.005) were school organizing taking iron tablets together, the stu-dent’s age, knowledge, motivation, self efficacy, prior Hb level examination, and teacher educating the benefits of iron tablets to students (OR=​9.5, CI=​5.4–16.8, OR=​0.43, CI=​ 0.23–0.78, OR=​2.12, CI=​1.29–3.48, OR=​6.55, CI=​3.77–11.4, OR=​6.39, CI=​3.7–10.9 respectively). The most important factors which determined highschool female’s adherence were school organizing students to take iron tablets together at school (OR=​7.2, CI=​3.5– 14.6, p=​0.000), student’s motivation (OR=​5.3, CI=​2.5–11.3, p=​0.000), and class teacher educating students on anemia and IFA (OR=​2.3, CI=​1.2–4.6) meanwhile student’s knowl-edge, self efficacy, and prior Hb level examinations were confounding factor.","author":[{"dropping-particle":"","family":"Apriningsih","given":"","non-dropping-particle":"","parse-names":false,"suffix":""},{"dropping-particle":"","family":"Madanijah","given":"Siti","non-dropping-particle":"","parse-names":false,"suffix":""},{"dropping-particle":"","family":"Dwiriani","given":"Cesilia M.","non-dropping-particle":"","parse-names":false,"suffix":""},{"dropping-particle":"","family":"Kolopaking","given":"Risatianti","non-dropping-particle":"","parse-names":false,"suffix":""}],"container-title":"Journal of Nutritional Science and Vitaminology","id":"ITEM-2","issued":{"date-parts":[["2020"]]},"page":"S369-S375","title":"Determinant of highschool girl adolescent’adherence to consume iron folic acid supplementation in Kota Depok","type":"article-journal","volume":"66"},"uris":["http://www.mendeley.com/documents/?uuid=765c937b-25ac-477e-92ea-992228dd8075"]}],"mendeley":{"formattedCitation":"(5,6)","manualFormatting":"5,6","plainTextFormattedCitation":"(5,6)","previouslyFormattedCitation":"(5,6)"},"properties":{"noteIndex":0},"schema":"https://github.com/citation-style-language/schema/raw/master/csl-citation.json"}</w:instrText>
      </w:r>
      <w:r w:rsidR="00E71E9B" w:rsidRPr="00E700F1">
        <w:rPr>
          <w:color w:val="000000"/>
          <w:sz w:val="24"/>
          <w:szCs w:val="24"/>
          <w:vertAlign w:val="superscript"/>
        </w:rPr>
        <w:fldChar w:fldCharType="separate"/>
      </w:r>
      <w:r w:rsidR="00E71E9B" w:rsidRPr="00E700F1">
        <w:rPr>
          <w:noProof/>
          <w:color w:val="000000"/>
          <w:sz w:val="24"/>
          <w:szCs w:val="24"/>
          <w:vertAlign w:val="superscript"/>
        </w:rPr>
        <w:t>5,6</w:t>
      </w:r>
      <w:r w:rsidR="00E71E9B" w:rsidRPr="00E700F1">
        <w:rPr>
          <w:color w:val="000000"/>
          <w:sz w:val="24"/>
          <w:szCs w:val="24"/>
          <w:vertAlign w:val="superscript"/>
        </w:rPr>
        <w:fldChar w:fldCharType="end"/>
      </w:r>
    </w:p>
    <w:p w14:paraId="0B850358" w14:textId="3BF90E30" w:rsidR="001F6503" w:rsidRDefault="00566549" w:rsidP="004F4794">
      <w:pPr>
        <w:ind w:firstLine="426"/>
        <w:jc w:val="both"/>
        <w:rPr>
          <w:color w:val="000000"/>
          <w:sz w:val="24"/>
          <w:szCs w:val="24"/>
        </w:rPr>
      </w:pPr>
      <w:r w:rsidRPr="00566549">
        <w:t xml:space="preserve"> </w:t>
      </w:r>
      <w:r w:rsidRPr="00566549">
        <w:rPr>
          <w:color w:val="000000"/>
          <w:sz w:val="24"/>
          <w:szCs w:val="24"/>
        </w:rPr>
        <w:t>Unfortunately, the W</w:t>
      </w:r>
      <w:r w:rsidR="00D20A50">
        <w:rPr>
          <w:color w:val="000000"/>
          <w:sz w:val="24"/>
          <w:szCs w:val="24"/>
        </w:rPr>
        <w:t>IFAS</w:t>
      </w:r>
      <w:r w:rsidRPr="00566549">
        <w:rPr>
          <w:color w:val="000000"/>
          <w:sz w:val="24"/>
          <w:szCs w:val="24"/>
        </w:rPr>
        <w:t xml:space="preserve"> program has been hampered since the COVID-19 </w:t>
      </w:r>
      <w:r w:rsidRPr="00566549">
        <w:rPr>
          <w:color w:val="000000"/>
          <w:sz w:val="24"/>
          <w:szCs w:val="24"/>
        </w:rPr>
        <w:lastRenderedPageBreak/>
        <w:t>pandemic</w:t>
      </w:r>
      <w:r w:rsidR="006B57CE">
        <w:rPr>
          <w:color w:val="000000"/>
          <w:sz w:val="24"/>
          <w:szCs w:val="24"/>
        </w:rPr>
        <w:t xml:space="preserve"> hit</w:t>
      </w:r>
      <w:r w:rsidRPr="00566549">
        <w:rPr>
          <w:color w:val="000000"/>
          <w:sz w:val="24"/>
          <w:szCs w:val="24"/>
        </w:rPr>
        <w:t xml:space="preserve">, when schools were </w:t>
      </w:r>
      <w:r w:rsidR="00E71E9B" w:rsidRPr="00566549">
        <w:rPr>
          <w:color w:val="000000"/>
          <w:sz w:val="24"/>
          <w:szCs w:val="24"/>
        </w:rPr>
        <w:t>closed,</w:t>
      </w:r>
      <w:r w:rsidRPr="00566549">
        <w:rPr>
          <w:color w:val="000000"/>
          <w:sz w:val="24"/>
          <w:szCs w:val="24"/>
        </w:rPr>
        <w:t xml:space="preserve"> and students were studying from home. Schools cannot hold IFAS drinking together, motivate and monitor student compliance to consume IFAS</w:t>
      </w:r>
      <w:r w:rsidR="00B9403A">
        <w:rPr>
          <w:color w:val="000000"/>
          <w:sz w:val="24"/>
          <w:szCs w:val="24"/>
        </w:rPr>
        <w:t xml:space="preserve">. </w:t>
      </w:r>
      <w:r w:rsidR="00B9403A" w:rsidRPr="00B9403A">
        <w:rPr>
          <w:color w:val="000000"/>
          <w:sz w:val="24"/>
          <w:szCs w:val="24"/>
        </w:rPr>
        <w:t xml:space="preserve">however, some regions have adapted by collaborating with </w:t>
      </w:r>
      <w:r w:rsidR="000D23BF">
        <w:rPr>
          <w:color w:val="000000"/>
          <w:sz w:val="24"/>
          <w:szCs w:val="24"/>
        </w:rPr>
        <w:t>adolescent</w:t>
      </w:r>
      <w:r w:rsidR="00B9403A" w:rsidRPr="00B9403A">
        <w:rPr>
          <w:color w:val="000000"/>
          <w:sz w:val="24"/>
          <w:szCs w:val="24"/>
        </w:rPr>
        <w:t xml:space="preserve"> </w:t>
      </w:r>
      <w:proofErr w:type="spellStart"/>
      <w:r w:rsidR="006B57CE">
        <w:rPr>
          <w:color w:val="000000"/>
          <w:sz w:val="24"/>
          <w:szCs w:val="24"/>
        </w:rPr>
        <w:t>P</w:t>
      </w:r>
      <w:r w:rsidR="00B9403A" w:rsidRPr="00B9403A">
        <w:rPr>
          <w:color w:val="000000"/>
          <w:sz w:val="24"/>
          <w:szCs w:val="24"/>
        </w:rPr>
        <w:t>osyandu</w:t>
      </w:r>
      <w:proofErr w:type="spellEnd"/>
      <w:r w:rsidR="00B9403A" w:rsidRPr="00B9403A">
        <w:rPr>
          <w:color w:val="000000"/>
          <w:sz w:val="24"/>
          <w:szCs w:val="24"/>
        </w:rPr>
        <w:t xml:space="preserve"> cadres to make home visits once a week to distribute IFAS. Along with the rapid use of the internet, efforts have been made to optimize the use of social media and the WhatsApp application as a communication channel between health workers, cadres and the wider community</w:t>
      </w:r>
      <w:r w:rsidR="006B57CE">
        <w:rPr>
          <w:color w:val="000000"/>
          <w:sz w:val="24"/>
          <w:szCs w:val="24"/>
        </w:rPr>
        <w:t>.</w:t>
      </w:r>
      <w:r w:rsidR="00E71E9B" w:rsidRPr="006B57CE">
        <w:rPr>
          <w:color w:val="000000"/>
          <w:sz w:val="24"/>
          <w:szCs w:val="24"/>
          <w:vertAlign w:val="superscript"/>
        </w:rPr>
        <w:fldChar w:fldCharType="begin" w:fldLock="1"/>
      </w:r>
      <w:r w:rsidR="006B57CE" w:rsidRPr="006B57CE">
        <w:rPr>
          <w:color w:val="000000"/>
          <w:sz w:val="24"/>
          <w:szCs w:val="24"/>
          <w:vertAlign w:val="superscript"/>
        </w:rPr>
        <w:instrText>ADDIN CSL_CITATION {"citationItems":[{"id":"ITEM-1","itemData":{"abstract":"… pasien mereka kemudian buka kembali dengan berusaha ketat mengikuti protocol Kesehatan … pemberian makanan tambahan, TTD, vitamin A, memantau kepatuhan konsumsinya, memantau … Forum Ilmiah Tahunan IAKMI (Ikatan Ahli Kesehatan Masyarakat Indonesia) Journal …","author":[{"dropping-particle":"","family":"Soewondo","given":"P","non-dropping-particle":"","parse-names":false,"suffix":""},{"dropping-particle":"","family":"Sakti","given":"G M K","non-dropping-particle":"","parse-names":false,"suffix":""},{"dropping-particle":"","family":"Irawati","given":"D O","non-dropping-particle":"","parse-names":false,"suffix":""},{"dropping-particle":"","family":"...","given":"","non-dropping-particle":"","parse-names":false,"suffix":""}],"container-title":"… Forum Ilmiah Tahunan …","id":"ITEM-1","issued":{"date-parts":[["2020"]]},"page":"25-26","title":"Potret Adaptasi Dan Inovasi Layanan Gizi Di Masa Pandemi Covid-19: Studi Kasus Di 8 Kabupaten/Kota Di Indonesia","type":"paper-conference"},"uris":["http://www.mendeley.com/documents/?uuid=dfcb3fce-2e02-4357-9b5a-8fcdfdc5091b"]}],"mendeley":{"formattedCitation":"(7)","manualFormatting":"7","plainTextFormattedCitation":"(7)","previouslyFormattedCitation":"(7)"},"properties":{"noteIndex":0},"schema":"https://github.com/citation-style-language/schema/raw/master/csl-citation.json"}</w:instrText>
      </w:r>
      <w:r w:rsidR="00E71E9B" w:rsidRPr="006B57CE">
        <w:rPr>
          <w:color w:val="000000"/>
          <w:sz w:val="24"/>
          <w:szCs w:val="24"/>
          <w:vertAlign w:val="superscript"/>
        </w:rPr>
        <w:fldChar w:fldCharType="separate"/>
      </w:r>
      <w:r w:rsidR="00E71E9B" w:rsidRPr="006B57CE">
        <w:rPr>
          <w:noProof/>
          <w:color w:val="000000"/>
          <w:sz w:val="24"/>
          <w:szCs w:val="24"/>
          <w:vertAlign w:val="superscript"/>
        </w:rPr>
        <w:t>7</w:t>
      </w:r>
      <w:r w:rsidR="00E71E9B" w:rsidRPr="006B57CE">
        <w:rPr>
          <w:color w:val="000000"/>
          <w:sz w:val="24"/>
          <w:szCs w:val="24"/>
          <w:vertAlign w:val="superscript"/>
        </w:rPr>
        <w:fldChar w:fldCharType="end"/>
      </w:r>
      <w:r w:rsidR="00B9403A">
        <w:rPr>
          <w:color w:val="000000"/>
          <w:sz w:val="24"/>
          <w:szCs w:val="24"/>
        </w:rPr>
        <w:t xml:space="preserve"> </w:t>
      </w:r>
    </w:p>
    <w:p w14:paraId="0F3F93A1" w14:textId="4FDA965C" w:rsidR="00FC299B" w:rsidRDefault="008C2B05" w:rsidP="004F4794">
      <w:pPr>
        <w:ind w:firstLine="426"/>
        <w:jc w:val="both"/>
        <w:rPr>
          <w:color w:val="000000"/>
          <w:sz w:val="24"/>
          <w:szCs w:val="24"/>
        </w:rPr>
      </w:pPr>
      <w:r>
        <w:rPr>
          <w:color w:val="000000"/>
          <w:sz w:val="24"/>
          <w:szCs w:val="24"/>
        </w:rPr>
        <w:t>N</w:t>
      </w:r>
      <w:r w:rsidRPr="008C2B05">
        <w:rPr>
          <w:color w:val="000000"/>
          <w:sz w:val="24"/>
          <w:szCs w:val="24"/>
        </w:rPr>
        <w:t xml:space="preserve">ot all regions have a </w:t>
      </w:r>
      <w:r w:rsidR="006B57CE">
        <w:rPr>
          <w:color w:val="000000"/>
          <w:sz w:val="24"/>
          <w:szCs w:val="24"/>
        </w:rPr>
        <w:t>Primary Health Care</w:t>
      </w:r>
      <w:r w:rsidR="000D23BF">
        <w:rPr>
          <w:color w:val="000000"/>
          <w:sz w:val="24"/>
          <w:szCs w:val="24"/>
        </w:rPr>
        <w:t>/</w:t>
      </w:r>
      <w:proofErr w:type="spellStart"/>
      <w:r w:rsidR="000D23BF">
        <w:rPr>
          <w:color w:val="000000"/>
          <w:sz w:val="24"/>
          <w:szCs w:val="24"/>
        </w:rPr>
        <w:t>Puskesmas</w:t>
      </w:r>
      <w:proofErr w:type="spellEnd"/>
      <w:r w:rsidRPr="008C2B05">
        <w:rPr>
          <w:color w:val="000000"/>
          <w:sz w:val="24"/>
          <w:szCs w:val="24"/>
        </w:rPr>
        <w:t xml:space="preserve"> or </w:t>
      </w:r>
      <w:proofErr w:type="spellStart"/>
      <w:r w:rsidR="006B57CE">
        <w:rPr>
          <w:color w:val="000000"/>
          <w:sz w:val="24"/>
          <w:szCs w:val="24"/>
        </w:rPr>
        <w:t>P</w:t>
      </w:r>
      <w:r w:rsidRPr="008C2B05">
        <w:rPr>
          <w:color w:val="000000"/>
          <w:sz w:val="24"/>
          <w:szCs w:val="24"/>
        </w:rPr>
        <w:t>osyandu</w:t>
      </w:r>
      <w:proofErr w:type="spellEnd"/>
      <w:r w:rsidRPr="008C2B05">
        <w:rPr>
          <w:color w:val="000000"/>
          <w:sz w:val="24"/>
          <w:szCs w:val="24"/>
        </w:rPr>
        <w:t xml:space="preserve"> </w:t>
      </w:r>
      <w:r w:rsidR="000D23BF">
        <w:rPr>
          <w:color w:val="000000"/>
          <w:sz w:val="24"/>
          <w:szCs w:val="24"/>
        </w:rPr>
        <w:t>particularly</w:t>
      </w:r>
      <w:r w:rsidRPr="008C2B05">
        <w:rPr>
          <w:color w:val="000000"/>
          <w:sz w:val="24"/>
          <w:szCs w:val="24"/>
        </w:rPr>
        <w:t xml:space="preserve"> for adolescents which are fostered by the local health office. </w:t>
      </w:r>
      <w:r w:rsidR="000D23BF">
        <w:rPr>
          <w:color w:val="000000"/>
          <w:sz w:val="24"/>
          <w:szCs w:val="24"/>
        </w:rPr>
        <w:t>Therefore,</w:t>
      </w:r>
      <w:r w:rsidRPr="008C2B05">
        <w:rPr>
          <w:color w:val="000000"/>
          <w:sz w:val="24"/>
          <w:szCs w:val="24"/>
        </w:rPr>
        <w:t xml:space="preserve"> it is necessary to make a breakthrough by cooperating with C</w:t>
      </w:r>
      <w:r>
        <w:rPr>
          <w:color w:val="000000"/>
          <w:sz w:val="24"/>
          <w:szCs w:val="24"/>
        </w:rPr>
        <w:t xml:space="preserve">ommunity </w:t>
      </w:r>
      <w:r w:rsidRPr="008C2B05">
        <w:rPr>
          <w:color w:val="000000"/>
          <w:sz w:val="24"/>
          <w:szCs w:val="24"/>
        </w:rPr>
        <w:t>B</w:t>
      </w:r>
      <w:r>
        <w:rPr>
          <w:color w:val="000000"/>
          <w:sz w:val="24"/>
          <w:szCs w:val="24"/>
        </w:rPr>
        <w:t xml:space="preserve">ased </w:t>
      </w:r>
      <w:r w:rsidRPr="008C2B05">
        <w:rPr>
          <w:color w:val="000000"/>
          <w:sz w:val="24"/>
          <w:szCs w:val="24"/>
        </w:rPr>
        <w:t>O</w:t>
      </w:r>
      <w:r>
        <w:rPr>
          <w:color w:val="000000"/>
          <w:sz w:val="24"/>
          <w:szCs w:val="24"/>
        </w:rPr>
        <w:t>rganization</w:t>
      </w:r>
      <w:r w:rsidRPr="008C2B05">
        <w:rPr>
          <w:color w:val="000000"/>
          <w:sz w:val="24"/>
          <w:szCs w:val="24"/>
        </w:rPr>
        <w:t>s</w:t>
      </w:r>
      <w:r w:rsidR="005E6EF9">
        <w:rPr>
          <w:color w:val="000000"/>
          <w:sz w:val="24"/>
          <w:szCs w:val="24"/>
        </w:rPr>
        <w:t xml:space="preserve"> (CBO)</w:t>
      </w:r>
      <w:r w:rsidRPr="008C2B05">
        <w:rPr>
          <w:color w:val="000000"/>
          <w:sz w:val="24"/>
          <w:szCs w:val="24"/>
        </w:rPr>
        <w:t xml:space="preserve"> that already exist in the community so that the WIFAS program can continue to run during the pandemic</w:t>
      </w:r>
      <w:r>
        <w:rPr>
          <w:color w:val="000000"/>
          <w:sz w:val="24"/>
          <w:szCs w:val="24"/>
        </w:rPr>
        <w:t xml:space="preserve">. </w:t>
      </w:r>
    </w:p>
    <w:p w14:paraId="1932BB60" w14:textId="6D41547F" w:rsidR="005E6EF9" w:rsidRPr="005E6EF9" w:rsidRDefault="005E6EF9" w:rsidP="005E6EF9">
      <w:pPr>
        <w:ind w:firstLine="426"/>
        <w:jc w:val="both"/>
        <w:rPr>
          <w:color w:val="000000"/>
          <w:sz w:val="24"/>
          <w:szCs w:val="24"/>
        </w:rPr>
      </w:pPr>
      <w:r w:rsidRPr="005E6EF9">
        <w:rPr>
          <w:color w:val="000000"/>
          <w:sz w:val="24"/>
          <w:szCs w:val="24"/>
        </w:rPr>
        <w:t xml:space="preserve">Based on the 2018 </w:t>
      </w:r>
      <w:proofErr w:type="spellStart"/>
      <w:r w:rsidRPr="005E6EF9">
        <w:rPr>
          <w:color w:val="000000"/>
          <w:sz w:val="24"/>
          <w:szCs w:val="24"/>
        </w:rPr>
        <w:t>Riskesdas</w:t>
      </w:r>
      <w:proofErr w:type="spellEnd"/>
      <w:r w:rsidRPr="005E6EF9">
        <w:rPr>
          <w:color w:val="000000"/>
          <w:sz w:val="24"/>
          <w:szCs w:val="24"/>
        </w:rPr>
        <w:t xml:space="preserve"> data, the prevalence of an</w:t>
      </w:r>
      <w:r w:rsidR="007B46BB">
        <w:rPr>
          <w:color w:val="000000"/>
          <w:sz w:val="24"/>
          <w:szCs w:val="24"/>
        </w:rPr>
        <w:t>a</w:t>
      </w:r>
      <w:r w:rsidRPr="005E6EF9">
        <w:rPr>
          <w:color w:val="000000"/>
          <w:sz w:val="24"/>
          <w:szCs w:val="24"/>
        </w:rPr>
        <w:t>emia in young women in rural areas is higher than in urban areas, which is 25%</w:t>
      </w:r>
      <w:r w:rsidR="000D23BF">
        <w:rPr>
          <w:color w:val="000000"/>
          <w:sz w:val="24"/>
          <w:szCs w:val="24"/>
        </w:rPr>
        <w:t>.</w:t>
      </w:r>
      <w:r w:rsidRPr="000D23BF">
        <w:rPr>
          <w:color w:val="000000"/>
          <w:sz w:val="24"/>
          <w:szCs w:val="24"/>
          <w:vertAlign w:val="superscript"/>
        </w:rPr>
        <w:fldChar w:fldCharType="begin" w:fldLock="1"/>
      </w:r>
      <w:r w:rsidR="000D23BF" w:rsidRPr="000D23BF">
        <w:rPr>
          <w:color w:val="000000"/>
          <w:sz w:val="24"/>
          <w:szCs w:val="24"/>
          <w:vertAlign w:val="superscript"/>
        </w:rPr>
        <w:instrText>ADDIN CSL_CITATION {"citationItems":[{"id":"ITEM-1","itemData":{"author":[{"dropping-particle":"","family":"Ministry of Health RI;Kementerian Kesehatan RI Badan Penelitian dan Pengembangan Kesehatan","given":"","non-dropping-particle":"","parse-names":false,"suffix":""}],"id":"ITEM-1","issued":{"date-parts":[["2019"]]},"number-of-pages":"614","publisher-place":"Jakarta","title":"Laporan Nasional RISKESDAS 2018","type":"report"},"uris":["http://www.mendeley.com/documents/?uuid=6472074a-58ea-46d4-93f3-1f0367b1d31b"]}],"mendeley":{"formattedCitation":"(8)","manualFormatting":"8","plainTextFormattedCitation":"(8)","previouslyFormattedCitation":"(8)"},"properties":{"noteIndex":0},"schema":"https://github.com/citation-style-language/schema/raw/master/csl-citation.json"}</w:instrText>
      </w:r>
      <w:r w:rsidRPr="000D23BF">
        <w:rPr>
          <w:color w:val="000000"/>
          <w:sz w:val="24"/>
          <w:szCs w:val="24"/>
          <w:vertAlign w:val="superscript"/>
        </w:rPr>
        <w:fldChar w:fldCharType="separate"/>
      </w:r>
      <w:r w:rsidRPr="000D23BF">
        <w:rPr>
          <w:noProof/>
          <w:color w:val="000000"/>
          <w:sz w:val="24"/>
          <w:szCs w:val="24"/>
          <w:vertAlign w:val="superscript"/>
        </w:rPr>
        <w:t>8</w:t>
      </w:r>
      <w:r w:rsidRPr="000D23BF">
        <w:rPr>
          <w:color w:val="000000"/>
          <w:sz w:val="24"/>
          <w:szCs w:val="24"/>
          <w:vertAlign w:val="superscript"/>
        </w:rPr>
        <w:fldChar w:fldCharType="end"/>
      </w:r>
      <w:r w:rsidRPr="005E6EF9">
        <w:rPr>
          <w:color w:val="000000"/>
          <w:sz w:val="24"/>
          <w:szCs w:val="24"/>
        </w:rPr>
        <w:t xml:space="preserve"> Therefore, it is necessary to do more intensive prevention and control of an</w:t>
      </w:r>
      <w:r w:rsidR="007B46BB">
        <w:rPr>
          <w:color w:val="000000"/>
          <w:sz w:val="24"/>
          <w:szCs w:val="24"/>
        </w:rPr>
        <w:t>a</w:t>
      </w:r>
      <w:r w:rsidRPr="005E6EF9">
        <w:rPr>
          <w:color w:val="000000"/>
          <w:sz w:val="24"/>
          <w:szCs w:val="24"/>
        </w:rPr>
        <w:t>emia in young women in rural areas.</w:t>
      </w:r>
    </w:p>
    <w:p w14:paraId="3D410689" w14:textId="40726F11" w:rsidR="005E6EF9" w:rsidRDefault="005E6EF9" w:rsidP="005E6EF9">
      <w:pPr>
        <w:ind w:firstLine="426"/>
        <w:jc w:val="both"/>
        <w:rPr>
          <w:color w:val="000000"/>
          <w:sz w:val="24"/>
          <w:szCs w:val="24"/>
        </w:rPr>
      </w:pPr>
      <w:r w:rsidRPr="005E6EF9">
        <w:rPr>
          <w:color w:val="000000"/>
          <w:sz w:val="24"/>
          <w:szCs w:val="24"/>
        </w:rPr>
        <w:t xml:space="preserve">There are several </w:t>
      </w:r>
      <w:r>
        <w:rPr>
          <w:color w:val="000000"/>
          <w:sz w:val="24"/>
          <w:szCs w:val="24"/>
        </w:rPr>
        <w:t>CBO</w:t>
      </w:r>
      <w:r w:rsidR="007B46BB">
        <w:rPr>
          <w:color w:val="000000"/>
          <w:sz w:val="24"/>
          <w:szCs w:val="24"/>
        </w:rPr>
        <w:t>s</w:t>
      </w:r>
      <w:r w:rsidRPr="005E6EF9">
        <w:rPr>
          <w:color w:val="000000"/>
          <w:sz w:val="24"/>
          <w:szCs w:val="24"/>
        </w:rPr>
        <w:t xml:space="preserve"> in the village that have the potential to be involved in health programs, including youth organizations and </w:t>
      </w:r>
      <w:proofErr w:type="spellStart"/>
      <w:r w:rsidRPr="005E6EF9">
        <w:rPr>
          <w:color w:val="000000"/>
          <w:sz w:val="24"/>
          <w:szCs w:val="24"/>
        </w:rPr>
        <w:t>Posyandu</w:t>
      </w:r>
      <w:proofErr w:type="spellEnd"/>
      <w:r w:rsidRPr="005E6EF9">
        <w:rPr>
          <w:color w:val="000000"/>
          <w:sz w:val="24"/>
          <w:szCs w:val="24"/>
        </w:rPr>
        <w:t>. Collaboration with the CBO can increase the active participation of the community so that it can increase the potential for program sustainability and can produce significant changes.</w:t>
      </w:r>
      <w:r>
        <w:rPr>
          <w:color w:val="000000"/>
          <w:sz w:val="24"/>
          <w:szCs w:val="24"/>
        </w:rPr>
        <w:t xml:space="preserve"> </w:t>
      </w:r>
      <w:r w:rsidRPr="005E6EF9">
        <w:rPr>
          <w:color w:val="000000"/>
          <w:sz w:val="24"/>
          <w:szCs w:val="24"/>
        </w:rPr>
        <w:t>Before collaborating with CBOs, it is necessary to analyses the readiness of CBOs. Plested et al. (2006) describes community readiness as a level where a community is willing and ready to act on a problem</w:t>
      </w:r>
      <w:r w:rsidR="000D23BF">
        <w:rPr>
          <w:color w:val="000000"/>
          <w:sz w:val="24"/>
          <w:szCs w:val="24"/>
        </w:rPr>
        <w:t xml:space="preserve">. </w:t>
      </w:r>
      <w:r w:rsidRPr="000D23BF">
        <w:rPr>
          <w:color w:val="000000"/>
          <w:sz w:val="24"/>
          <w:szCs w:val="24"/>
          <w:vertAlign w:val="superscript"/>
        </w:rPr>
        <w:fldChar w:fldCharType="begin" w:fldLock="1"/>
      </w:r>
      <w:r w:rsidR="000D23BF" w:rsidRPr="000D23BF">
        <w:rPr>
          <w:color w:val="000000"/>
          <w:sz w:val="24"/>
          <w:szCs w:val="24"/>
          <w:vertAlign w:val="superscript"/>
        </w:rPr>
        <w:instrText>ADDIN CSL_CITATION {"citationItems":[{"id":"ITEM-1","itemData":{"abstract":"Assessing community readiness for change Increasing community capacity Creating a climate that makes change possible","author":[{"dropping-particle":"","family":"Plested","given":"Barbara A","non-dropping-particle":"","parse-names":false,"suffix":""},{"dropping-particle":"","family":"Edwards","given":"Ruth W","non-dropping-particle":"","parse-names":false,"suffix":""},{"dropping-particle":"","family":"Jumper-Thurman","given":"Pamela","non-dropping-particle":"","parse-names":false,"suffix":""}],"id":"ITEM-1","issued":{"date-parts":[["2006"]]},"publisher":"Colorado State University","title":"A Handbook for Successful Change","type":"book"},"uris":["http://www.mendeley.com/documents/?uuid=2bfc170a-555f-3d15-8320-a09669801643"]}],"mendeley":{"formattedCitation":"(9)","manualFormatting":"9","plainTextFormattedCitation":"(9)","previouslyFormattedCitation":"(9)"},"properties":{"noteIndex":0},"schema":"https://github.com/citation-style-language/schema/raw/master/csl-citation.json"}</w:instrText>
      </w:r>
      <w:r w:rsidRPr="000D23BF">
        <w:rPr>
          <w:color w:val="000000"/>
          <w:sz w:val="24"/>
          <w:szCs w:val="24"/>
          <w:vertAlign w:val="superscript"/>
        </w:rPr>
        <w:fldChar w:fldCharType="separate"/>
      </w:r>
      <w:r w:rsidRPr="000D23BF">
        <w:rPr>
          <w:noProof/>
          <w:color w:val="000000"/>
          <w:sz w:val="24"/>
          <w:szCs w:val="24"/>
          <w:vertAlign w:val="superscript"/>
        </w:rPr>
        <w:t>9</w:t>
      </w:r>
      <w:r w:rsidRPr="000D23BF">
        <w:rPr>
          <w:color w:val="000000"/>
          <w:sz w:val="24"/>
          <w:szCs w:val="24"/>
          <w:vertAlign w:val="superscript"/>
        </w:rPr>
        <w:fldChar w:fldCharType="end"/>
      </w:r>
      <w:r w:rsidRPr="005E6EF9">
        <w:rPr>
          <w:color w:val="000000"/>
          <w:sz w:val="24"/>
          <w:szCs w:val="24"/>
        </w:rPr>
        <w:t xml:space="preserve"> The development of this model of community preparedness arose from the need to better understand the awareness of individual community members of a problem and its relation to prevention programmes. The developer of this model defines community readiness as “the relative acceptance of a program, action, or other form of local-based decision-making activity.</w:t>
      </w:r>
      <w:r w:rsidRPr="000D23BF">
        <w:rPr>
          <w:color w:val="000000"/>
          <w:sz w:val="24"/>
          <w:szCs w:val="24"/>
          <w:vertAlign w:val="superscript"/>
        </w:rPr>
        <w:fldChar w:fldCharType="begin" w:fldLock="1"/>
      </w:r>
      <w:r w:rsidR="000D23BF" w:rsidRPr="000D23BF">
        <w:rPr>
          <w:color w:val="000000"/>
          <w:sz w:val="24"/>
          <w:szCs w:val="24"/>
          <w:vertAlign w:val="superscript"/>
        </w:rPr>
        <w:instrText>ADDIN CSL_CITATION {"citationItems":[{"id":"ITEM-1","itemData":{"DOI":"10.1177/1524839913487538","ISBN":"1524-8399","ISSN":"15248399","PMID":"23703848","abstract":"This article presents an adapted version of an established model for assessing community readiness along with an illustrative case example from the evaluation of Positive Action, a school-based social and character development intervention, implemented as part of a randomized controlled trial in Chicago Public Schools from 2004 through 2010. Community readiness is an emerging assessment approach that can be used to gauge the level of understanding, desire, and ownership that community members have regarding a community problem and/or intervention. This approach is useful in engaging the community and leveraging particular aspects of readiness that the community may exhibit in order to maximize an intervention's successful implementation. The article concludes with a discussion of ways in which a community readiness model may be useful in health promotion practice, both in schools and in other community settings.","author":[{"dropping-particle":"","family":"Jarpe-Ratner","given":"Elizabeth","non-dropping-particle":"","parse-names":false,"suffix":""},{"dropping-particle":"","family":"Fagen","given":"Michael","non-dropping-particle":"","parse-names":false,"suffix":""},{"dropping-particle":"","family":"Day","given":"Joseph","non-dropping-particle":"","parse-names":false,"suffix":""},{"dropping-particle":"","family":"Gilmet","given":"Kelsey","non-dropping-particle":"","parse-names":false,"suffix":""},{"dropping-particle":"","family":"Prudowsky","given":"Joshua","non-dropping-particle":"","parse-names":false,"suffix":""},{"dropping-particle":"","family":"Neiger","given":"Brad L.","non-dropping-particle":"","parse-names":false,"suffix":""},{"dropping-particle":"","family":"DuBois","given":"David L.","non-dropping-particle":"","parse-names":false,"suffix":""},{"dropping-particle":"","family":"Flay","given":"Brian R.","non-dropping-particle":"","parse-names":false,"suffix":""}],"container-title":"Health Promotion Practice","id":"ITEM-1","issue":"5","issued":{"date-parts":[["2013"]]},"page":"649-655","title":"Using the Community Readiness Model as an Approach to Formative Evaluation","type":"article-journal","volume":"14"},"uris":["http://www.mendeley.com/documents/?uuid=e2653929-9a11-34f9-b5e4-ea92fe30f05f"]}],"mendeley":{"formattedCitation":"(10)","manualFormatting":"10","plainTextFormattedCitation":"(10)","previouslyFormattedCitation":"(10)"},"properties":{"noteIndex":0},"schema":"https://github.com/citation-style-language/schema/raw/master/csl-citation.json"}</w:instrText>
      </w:r>
      <w:r w:rsidRPr="000D23BF">
        <w:rPr>
          <w:color w:val="000000"/>
          <w:sz w:val="24"/>
          <w:szCs w:val="24"/>
          <w:vertAlign w:val="superscript"/>
        </w:rPr>
        <w:fldChar w:fldCharType="separate"/>
      </w:r>
      <w:r w:rsidRPr="000D23BF">
        <w:rPr>
          <w:noProof/>
          <w:color w:val="000000"/>
          <w:sz w:val="24"/>
          <w:szCs w:val="24"/>
          <w:vertAlign w:val="superscript"/>
        </w:rPr>
        <w:t>10</w:t>
      </w:r>
      <w:r w:rsidRPr="000D23BF">
        <w:rPr>
          <w:color w:val="000000"/>
          <w:sz w:val="24"/>
          <w:szCs w:val="24"/>
          <w:vertAlign w:val="superscript"/>
        </w:rPr>
        <w:fldChar w:fldCharType="end"/>
      </w:r>
    </w:p>
    <w:p w14:paraId="12EDD5C0" w14:textId="16259BF5" w:rsidR="003F70C5" w:rsidRDefault="003F70C5" w:rsidP="003F70C5">
      <w:pPr>
        <w:ind w:firstLine="426"/>
        <w:jc w:val="both"/>
        <w:rPr>
          <w:color w:val="000000"/>
          <w:sz w:val="24"/>
          <w:szCs w:val="24"/>
        </w:rPr>
      </w:pPr>
      <w:r>
        <w:rPr>
          <w:color w:val="000000"/>
          <w:sz w:val="24"/>
          <w:szCs w:val="24"/>
        </w:rPr>
        <w:t>S</w:t>
      </w:r>
      <w:r w:rsidRPr="003F70C5">
        <w:rPr>
          <w:color w:val="000000"/>
          <w:sz w:val="24"/>
          <w:szCs w:val="24"/>
        </w:rPr>
        <w:t>tudies that examine the readiness of CBO in an</w:t>
      </w:r>
      <w:r>
        <w:rPr>
          <w:color w:val="000000"/>
          <w:sz w:val="24"/>
          <w:szCs w:val="24"/>
        </w:rPr>
        <w:t>a</w:t>
      </w:r>
      <w:r w:rsidRPr="003F70C5">
        <w:rPr>
          <w:color w:val="000000"/>
          <w:sz w:val="24"/>
          <w:szCs w:val="24"/>
        </w:rPr>
        <w:t xml:space="preserve">emia prevention and control programs in adolescent girls are still </w:t>
      </w:r>
      <w:r w:rsidR="000D23BF">
        <w:rPr>
          <w:color w:val="000000"/>
          <w:sz w:val="24"/>
          <w:szCs w:val="24"/>
        </w:rPr>
        <w:t xml:space="preserve">lack </w:t>
      </w:r>
      <w:r w:rsidR="000D23BF" w:rsidRPr="003F70C5">
        <w:rPr>
          <w:color w:val="000000"/>
          <w:sz w:val="24"/>
          <w:szCs w:val="24"/>
        </w:rPr>
        <w:t>because</w:t>
      </w:r>
      <w:r w:rsidRPr="003F70C5">
        <w:rPr>
          <w:color w:val="000000"/>
          <w:sz w:val="24"/>
          <w:szCs w:val="24"/>
        </w:rPr>
        <w:t xml:space="preserve"> previous studies did not </w:t>
      </w:r>
      <w:r w:rsidR="001B243D" w:rsidRPr="003F70C5">
        <w:rPr>
          <w:color w:val="000000"/>
          <w:sz w:val="24"/>
          <w:szCs w:val="24"/>
        </w:rPr>
        <w:t>analyse</w:t>
      </w:r>
      <w:r w:rsidRPr="003F70C5">
        <w:rPr>
          <w:color w:val="000000"/>
          <w:sz w:val="24"/>
          <w:szCs w:val="24"/>
        </w:rPr>
        <w:t xml:space="preserve"> the context and actors of the implementation of the intervention. The discussion carried out is often only emphasized on the form of intervention alone.</w:t>
      </w:r>
      <w:r w:rsidR="00F0697B" w:rsidRPr="000D23BF">
        <w:rPr>
          <w:color w:val="000000"/>
          <w:sz w:val="24"/>
          <w:szCs w:val="24"/>
          <w:vertAlign w:val="superscript"/>
        </w:rPr>
        <w:fldChar w:fldCharType="begin" w:fldLock="1"/>
      </w:r>
      <w:r w:rsidR="000D23BF">
        <w:rPr>
          <w:color w:val="000000"/>
          <w:sz w:val="24"/>
          <w:szCs w:val="24"/>
          <w:vertAlign w:val="superscript"/>
        </w:rPr>
        <w:instrText>ADDIN CSL_CITATION {"citationItems":[{"id":"ITEM-1","itemData":{"abstract":"Data Riset Kesehatan Dasar (Riskesdas, 2007) bahwa sebanyak 93,5% anak usia 10 tahun ke atas tidak mengkonsumsi buah dan sayur. Anak sekolah dasar merupakan kelompok yang rawan terhadap masalah gizi kurang. Rendahnya status gizi anak sekolah akan berdampak negatif pada peningkatan kualitas SDM. Tujuan penelitian ini untuk mendapatkan pengaruh dari pendidikan kesehatan melalui media modul dengan metode demonstrasi terhadap pengetahuan dan keterampilan gizi anak sekolah. Pelaksanaan penelitian dengan cara Pre Test, Intervensi, dan Post test. Populasi dalam penelitian ini adalah seluruh siswa di SDN 026 Kecamatan Muara Kaman Sebanyak 173 siswa. Pengambilan sampel dilakukan secara purposive sampling yaitu siswa-siswi kelas IV dan V SDN 026 sebanyak 43 siswa dengan rincian kelas IV 30 siswa dan kelas V sebanyak 30 siswa. Hasil penelitian ini menunjukkan Karakteristik responden pada penelitian ini rata-rata berusia 11 tahun (37%), dan status gizi kurus sekali 32,6 %, kebiasaan sarapan pagi 67.4%, dan besaran uang sa- ku terbanyak pada kisaran Rp. 1.000 - 5.000 sebesar 65.1%. Rerata peningkatan pengetahuan pada responden dengan nilai mean sebesar -,977 yang artinya terjadi kecenderungan kenaikan penge- tahuan sesudah perlakuan dengan rata-rata kenaikannya adalah 0.977. Adapun nilai p value sebesar 0.000 yang artinya ada perbedaan pengetahuan antara sebelum dan sesudah perlakuan. Rerata pen- ingkatan keterampilan responden dengan nilai mean sebesar -.233 bernilai negatif, yang artinya ter- jadi kecenderungan kenaikan keterampilan sesudah perlakuan dengan kenaikan rata-rata sebesar 0.233. Adapun nilai p value sebesar 0.001 yang artinya ada perbedaan keterampilan antara sebelum dan sesudah perlakuan. Disarankan pentingnya pendidikan gizi pada anak sekolah dengan menggunakan berbagai metode demonstrasi dengan media seperti penggunaan modul tentang gizi agar menarik siswa untuk mempelajarinya. Pendidikan kesehatan pada usia anak sekolah dengan menanamkan pengertian dan pemahaman tentang makanan sehat dan bergizi agar mereka bisa terhindar dari penyakit akibat kekurangan atau kelebihan gizi","author":[{"dropping-particle":"","family":"Rohmah","given":"Nur","non-dropping-particle":"","parse-names":false,"suffix":""},{"dropping-particle":"","family":"Subirman","given":"","non-dropping-particle":"","parse-names":false,"suffix":""},{"dropping-particle":"","family":"Iriyani","given":"","non-dropping-particle":"","parse-names":false,"suffix":""}],"container-title":"Higiene","id":"ITEM-1","issue":"3","issued":{"date-parts":[["2016"]]},"page":"122-125","title":"Pendidikan Gizi Anak Sekolah Dasar Pada Daerah Hutan Hujan Tropis Kalimantan Timur","type":"article-journal","volume":"2"},"uris":["http://www.mendeley.com/documents/?uuid=0e73837e-3b77-4856-a867-2b4347e6bd07"]}],"mendeley":{"formattedCitation":"(11)","manualFormatting":"11","plainTextFormattedCitation":"(11)","previouslyFormattedCitation":"(11)"},"properties":{"noteIndex":0},"schema":"https://github.com/citation-style-language/schema/raw/master/csl-citation.json"}</w:instrText>
      </w:r>
      <w:r w:rsidR="00F0697B" w:rsidRPr="000D23BF">
        <w:rPr>
          <w:color w:val="000000"/>
          <w:sz w:val="24"/>
          <w:szCs w:val="24"/>
          <w:vertAlign w:val="superscript"/>
        </w:rPr>
        <w:fldChar w:fldCharType="separate"/>
      </w:r>
      <w:r w:rsidR="00F0697B" w:rsidRPr="000D23BF">
        <w:rPr>
          <w:noProof/>
          <w:color w:val="000000"/>
          <w:sz w:val="24"/>
          <w:szCs w:val="24"/>
          <w:vertAlign w:val="superscript"/>
        </w:rPr>
        <w:t>11</w:t>
      </w:r>
      <w:r w:rsidR="00F0697B" w:rsidRPr="000D23BF">
        <w:rPr>
          <w:color w:val="000000"/>
          <w:sz w:val="24"/>
          <w:szCs w:val="24"/>
          <w:vertAlign w:val="superscript"/>
        </w:rPr>
        <w:fldChar w:fldCharType="end"/>
      </w:r>
      <w:r w:rsidRPr="003F70C5">
        <w:rPr>
          <w:color w:val="000000"/>
          <w:sz w:val="24"/>
          <w:szCs w:val="24"/>
        </w:rPr>
        <w:t xml:space="preserve"> </w:t>
      </w:r>
      <w:r w:rsidR="00F0697B">
        <w:rPr>
          <w:color w:val="000000"/>
          <w:sz w:val="24"/>
          <w:szCs w:val="24"/>
        </w:rPr>
        <w:t>Thus</w:t>
      </w:r>
      <w:r w:rsidRPr="003F70C5">
        <w:rPr>
          <w:color w:val="000000"/>
          <w:sz w:val="24"/>
          <w:szCs w:val="24"/>
        </w:rPr>
        <w:t xml:space="preserve"> far, nutrition programs in Indonesia are more of a "program in" than a "program for" or a "joint program" for the community</w:t>
      </w:r>
      <w:r w:rsidR="000D23BF">
        <w:rPr>
          <w:color w:val="000000"/>
          <w:sz w:val="24"/>
          <w:szCs w:val="24"/>
        </w:rPr>
        <w:t>.</w:t>
      </w:r>
      <w:r w:rsidR="00F0697B" w:rsidRPr="000D23BF">
        <w:rPr>
          <w:color w:val="000000"/>
          <w:sz w:val="24"/>
          <w:szCs w:val="24"/>
          <w:vertAlign w:val="superscript"/>
        </w:rPr>
        <w:fldChar w:fldCharType="begin" w:fldLock="1"/>
      </w:r>
      <w:r w:rsidR="00FF4EE8" w:rsidRPr="000D23BF">
        <w:rPr>
          <w:color w:val="000000"/>
          <w:sz w:val="24"/>
          <w:szCs w:val="24"/>
          <w:vertAlign w:val="superscript"/>
        </w:rPr>
        <w:instrText>ADDIN CSL_CITATION {"citationItems":[{"id":"ITEM-1","itemData":{"author":[{"dropping-particle":"","family":"TC Lewallen, H Hunt","given":"W Potts‐Datema","non-dropping-particle":"","parse-names":false,"suffix":""}],"id":"ITEM-1","issue":"11","issued":{"date-parts":[["2015"]]},"page":"729-739","title":"The Whole School , Whole Community , Whole Child Model : A New Approach for Improving Educational Attainment and Healthy Development for Students *","type":"article-journal","volume":"85"},"uris":["http://www.mendeley.com/documents/?uuid=a771e5d7-cb74-4f88-8a73-d83d7b371eef"]}],"mendeley":{"formattedCitation":"(12)","plainTextFormattedCitation":"(12)","previouslyFormattedCitation":"(12)"},"properties":{"noteIndex":0},"schema":"https://github.com/citation-style-language/schema/raw/master/csl-citation.json"}</w:instrText>
      </w:r>
      <w:r w:rsidR="00F0697B" w:rsidRPr="000D23BF">
        <w:rPr>
          <w:color w:val="000000"/>
          <w:sz w:val="24"/>
          <w:szCs w:val="24"/>
          <w:vertAlign w:val="superscript"/>
        </w:rPr>
        <w:fldChar w:fldCharType="separate"/>
      </w:r>
      <w:r w:rsidR="00F0697B" w:rsidRPr="000D23BF">
        <w:rPr>
          <w:noProof/>
          <w:color w:val="000000"/>
          <w:sz w:val="24"/>
          <w:szCs w:val="24"/>
          <w:vertAlign w:val="superscript"/>
        </w:rPr>
        <w:t>12</w:t>
      </w:r>
      <w:r w:rsidR="00F0697B" w:rsidRPr="000D23BF">
        <w:rPr>
          <w:color w:val="000000"/>
          <w:sz w:val="24"/>
          <w:szCs w:val="24"/>
          <w:vertAlign w:val="superscript"/>
        </w:rPr>
        <w:fldChar w:fldCharType="end"/>
      </w:r>
      <w:r w:rsidRPr="003F70C5">
        <w:rPr>
          <w:color w:val="000000"/>
          <w:sz w:val="24"/>
          <w:szCs w:val="24"/>
        </w:rPr>
        <w:t xml:space="preserve"> </w:t>
      </w:r>
      <w:r w:rsidR="00CC7927" w:rsidRPr="00CC7927">
        <w:rPr>
          <w:color w:val="000000"/>
          <w:sz w:val="24"/>
          <w:szCs w:val="24"/>
        </w:rPr>
        <w:t>One of the causes of the ineffectiveness of an intervention not only depends on the form of the intervention but also depends on the context in which and who the target is and what support systems are available in a community.</w:t>
      </w:r>
      <w:r w:rsidR="00CC7927" w:rsidRPr="000D23BF">
        <w:rPr>
          <w:color w:val="000000"/>
          <w:sz w:val="24"/>
          <w:szCs w:val="24"/>
          <w:vertAlign w:val="superscript"/>
        </w:rPr>
        <w:fldChar w:fldCharType="begin" w:fldLock="1"/>
      </w:r>
      <w:r w:rsidR="000D23BF" w:rsidRPr="000D23BF">
        <w:rPr>
          <w:color w:val="000000"/>
          <w:sz w:val="24"/>
          <w:szCs w:val="24"/>
          <w:vertAlign w:val="superscript"/>
        </w:rPr>
        <w:instrText>ADDIN CSL_CITATION {"citationItems":[{"id":"ITEM-1","itemData":{"DOI":"10.1017/S1368980020001299","ISSN":"1368-9800","abstract":"Abstract Objective: To identify school community readiness to adopt a school-based adolescent nutrition intervention. Design: Cross-sectional study: mixed-methods design. The community readiness model was used to guide instrument development and qualitative analysis. Quantitative data are presented using descriptive statistics. Each statement was rated on a seven-point Likert scale, thereby producing scores between 1 (strongly disagree) and 7 (strongly agree). Setting: Ten of the twenty current public secondary schools in Bogor, Indonesia. Participants: Ninety teachers and ten school principals. Results: Eating behaviour problem awareness was present among all participants; awareness of efforts to improve eating habits was also present, but these efforts were perceived as having low efficacy; support from the City Education Authority and Health Authority was present, but the support type did not match the perceived needs; nutrition education had not been implemented across the entire school community due to competing priorities; existing nutrition policies did not provide concrete scenarios and clear guidelines for nutrition-friendly schools; the availability and accessibility of healthy foods at schools were considered to be key factors in improved adolescent nutrition; positive attitudes existed among respondents towards the implementation of various nutrition programmes, and the median and mode were seven in all types of school-based intervention. Conclusions: The school community readiness level regarding school-based adolescent nutrition interventions is currently in the action phase, implying that community leaders have begun organising efforts to address issues in adolescent nutrition and are aware of their consequences. Future support should be directed towards improving existing efforts and offering concrete ideas and clear policy guidelines for implementation.","author":[{"dropping-particle":"","family":"Octaria","given":"Yessi","non-dropping-particle":"","parse-names":false,"suffix":""},{"dropping-particle":"","family":"Apriningsih","given":"Apriningsih","non-dropping-particle":"","parse-names":false,"suffix":""},{"dropping-particle":"","family":"Dwiriani","given":"Cesilia M","non-dropping-particle":"","parse-names":false,"suffix":""},{"dropping-particle":"","family":"Februhartanty","given":"Judhiastuty","non-dropping-particle":"","parse-names":false,"suffix":""}],"container-title":"Public Health Nutrition","id":"ITEM-1","issue":"1","issued":{"date-parts":[["2020","5","7"]]},"page":"1-12","title":"School readiness to adopt a school-based adolescent nutrition intervention in urban Indonesia","type":"article-journal","volume":"1"},"uris":["http://www.mendeley.com/documents/?uuid=ce87375f-1bfc-32be-92af-8695c4a3b899"]}],"mendeley":{"formattedCitation":"(13)","manualFormatting":"13","plainTextFormattedCitation":"(13)","previouslyFormattedCitation":"(13)"},"properties":{"noteIndex":0},"schema":"https://github.com/citation-style-language/schema/raw/master/csl-citation.json"}</w:instrText>
      </w:r>
      <w:r w:rsidR="00CC7927" w:rsidRPr="000D23BF">
        <w:rPr>
          <w:color w:val="000000"/>
          <w:sz w:val="24"/>
          <w:szCs w:val="24"/>
          <w:vertAlign w:val="superscript"/>
        </w:rPr>
        <w:fldChar w:fldCharType="separate"/>
      </w:r>
      <w:r w:rsidR="00CC7927" w:rsidRPr="000D23BF">
        <w:rPr>
          <w:noProof/>
          <w:color w:val="000000"/>
          <w:sz w:val="24"/>
          <w:szCs w:val="24"/>
          <w:vertAlign w:val="superscript"/>
        </w:rPr>
        <w:t>13</w:t>
      </w:r>
      <w:r w:rsidR="00CC7927" w:rsidRPr="000D23BF">
        <w:rPr>
          <w:color w:val="000000"/>
          <w:sz w:val="24"/>
          <w:szCs w:val="24"/>
          <w:vertAlign w:val="superscript"/>
        </w:rPr>
        <w:fldChar w:fldCharType="end"/>
      </w:r>
      <w:r w:rsidR="00CC7927">
        <w:rPr>
          <w:color w:val="000000"/>
          <w:sz w:val="24"/>
          <w:szCs w:val="24"/>
        </w:rPr>
        <w:t xml:space="preserve"> </w:t>
      </w:r>
      <w:r w:rsidRPr="003F70C5">
        <w:rPr>
          <w:color w:val="000000"/>
          <w:sz w:val="24"/>
          <w:szCs w:val="24"/>
        </w:rPr>
        <w:t>Therefore, this study aims to identify the readiness of CBO in the prevention and control of an</w:t>
      </w:r>
      <w:r w:rsidR="00F0697B">
        <w:rPr>
          <w:color w:val="000000"/>
          <w:sz w:val="24"/>
          <w:szCs w:val="24"/>
        </w:rPr>
        <w:t>a</w:t>
      </w:r>
      <w:r w:rsidRPr="003F70C5">
        <w:rPr>
          <w:color w:val="000000"/>
          <w:sz w:val="24"/>
          <w:szCs w:val="24"/>
        </w:rPr>
        <w:t xml:space="preserve">emia in adolescent girls in </w:t>
      </w:r>
      <w:proofErr w:type="spellStart"/>
      <w:r w:rsidRPr="003F70C5">
        <w:rPr>
          <w:color w:val="000000"/>
          <w:sz w:val="24"/>
          <w:szCs w:val="24"/>
        </w:rPr>
        <w:t>Sirnagalih</w:t>
      </w:r>
      <w:proofErr w:type="spellEnd"/>
      <w:r w:rsidRPr="003F70C5">
        <w:rPr>
          <w:color w:val="000000"/>
          <w:sz w:val="24"/>
          <w:szCs w:val="24"/>
        </w:rPr>
        <w:t xml:space="preserve"> village, Bogor, West Java. This CBO readiness analysis can be used as the basis for mapping the intervention and collaboration efforts that will be carried out later.</w:t>
      </w:r>
    </w:p>
    <w:p w14:paraId="4E53E272" w14:textId="77777777" w:rsidR="00F0697B" w:rsidRPr="005E6EF9" w:rsidRDefault="00F0697B" w:rsidP="003F70C5">
      <w:pPr>
        <w:ind w:firstLine="426"/>
        <w:jc w:val="both"/>
        <w:rPr>
          <w:color w:val="000000"/>
          <w:sz w:val="24"/>
          <w:szCs w:val="24"/>
        </w:rPr>
      </w:pPr>
    </w:p>
    <w:p w14:paraId="6C4A5540" w14:textId="57EB3825" w:rsidR="00AD6F56" w:rsidRDefault="00E5363A">
      <w:pPr>
        <w:pStyle w:val="Heading1"/>
        <w:ind w:left="0"/>
      </w:pPr>
      <w:r>
        <w:t>MATERIAL AND METHODS</w:t>
      </w:r>
    </w:p>
    <w:p w14:paraId="75D5B629" w14:textId="77777777" w:rsidR="00622DE7" w:rsidRDefault="00622DE7">
      <w:pPr>
        <w:pStyle w:val="Heading1"/>
        <w:ind w:left="0"/>
      </w:pPr>
    </w:p>
    <w:p w14:paraId="279E8475" w14:textId="6C4A6CD9" w:rsidR="0054117F" w:rsidRPr="0054117F" w:rsidRDefault="0054117F" w:rsidP="0054117F">
      <w:pPr>
        <w:pStyle w:val="Heading1"/>
        <w:ind w:left="0"/>
        <w:jc w:val="both"/>
        <w:rPr>
          <w:lang w:val="en-US"/>
        </w:rPr>
      </w:pPr>
      <w:r w:rsidRPr="0054117F">
        <w:rPr>
          <w:lang w:val="id-ID"/>
        </w:rPr>
        <w:t>Research design, sample, location and time</w:t>
      </w:r>
      <w:r w:rsidRPr="0054117F">
        <w:rPr>
          <w:lang w:val="en-US"/>
        </w:rPr>
        <w:t>.</w:t>
      </w:r>
    </w:p>
    <w:p w14:paraId="7E3EA0BD" w14:textId="0123B61D" w:rsidR="0054117F" w:rsidRDefault="0054117F" w:rsidP="004F4794">
      <w:pPr>
        <w:pStyle w:val="Heading1"/>
        <w:ind w:left="0" w:firstLine="426"/>
        <w:jc w:val="both"/>
        <w:rPr>
          <w:b w:val="0"/>
          <w:bCs w:val="0"/>
          <w:lang w:val="en-US"/>
        </w:rPr>
      </w:pPr>
      <w:r w:rsidRPr="0054117F">
        <w:rPr>
          <w:b w:val="0"/>
          <w:bCs w:val="0"/>
          <w:lang w:val="en-US"/>
        </w:rPr>
        <w:t>The study design is a survey study with a cross-sectional design</w:t>
      </w:r>
      <w:r w:rsidR="005E1A80">
        <w:rPr>
          <w:b w:val="0"/>
          <w:bCs w:val="0"/>
          <w:lang w:val="en-US"/>
        </w:rPr>
        <w:t xml:space="preserve"> using semi </w:t>
      </w:r>
      <w:r w:rsidR="007B46BB">
        <w:rPr>
          <w:b w:val="0"/>
          <w:bCs w:val="0"/>
          <w:lang w:val="en-US"/>
        </w:rPr>
        <w:t>quantitative and</w:t>
      </w:r>
      <w:r w:rsidR="005E1A80">
        <w:rPr>
          <w:b w:val="0"/>
          <w:bCs w:val="0"/>
          <w:lang w:val="en-US"/>
        </w:rPr>
        <w:t xml:space="preserve"> qualitative approached</w:t>
      </w:r>
      <w:r w:rsidRPr="0054117F">
        <w:rPr>
          <w:b w:val="0"/>
          <w:bCs w:val="0"/>
          <w:lang w:val="en-US"/>
        </w:rPr>
        <w:t>. The research unit is CBO selected by using purposive sampling technique. The sample selected as respondents met the inclusion and exclusion criteria. The inclusion criteria for the sample are respondents are key informants. Key resource persons consisted of a village head,</w:t>
      </w:r>
      <w:r w:rsidR="00EA1142">
        <w:rPr>
          <w:b w:val="0"/>
          <w:bCs w:val="0"/>
          <w:lang w:val="en-US"/>
        </w:rPr>
        <w:t xml:space="preserve"> 3 village </w:t>
      </w:r>
      <w:r w:rsidR="001B243D">
        <w:rPr>
          <w:b w:val="0"/>
          <w:bCs w:val="0"/>
          <w:lang w:val="en-US"/>
        </w:rPr>
        <w:t>officers</w:t>
      </w:r>
      <w:r w:rsidR="000D23BF">
        <w:rPr>
          <w:b w:val="0"/>
          <w:bCs w:val="0"/>
          <w:lang w:val="en-US"/>
        </w:rPr>
        <w:t xml:space="preserve">, </w:t>
      </w:r>
      <w:r w:rsidR="000D23BF" w:rsidRPr="0054117F">
        <w:rPr>
          <w:b w:val="0"/>
          <w:bCs w:val="0"/>
          <w:lang w:val="en-US"/>
        </w:rPr>
        <w:t>a</w:t>
      </w:r>
      <w:r w:rsidRPr="0054117F">
        <w:rPr>
          <w:b w:val="0"/>
          <w:bCs w:val="0"/>
          <w:lang w:val="en-US"/>
        </w:rPr>
        <w:t xml:space="preserve"> chairperson and 6 Ka</w:t>
      </w:r>
      <w:r w:rsidR="00B060FE">
        <w:rPr>
          <w:b w:val="0"/>
          <w:bCs w:val="0"/>
          <w:lang w:val="en-US"/>
        </w:rPr>
        <w:t xml:space="preserve">rang </w:t>
      </w:r>
      <w:proofErr w:type="spellStart"/>
      <w:r w:rsidRPr="0054117F">
        <w:rPr>
          <w:b w:val="0"/>
          <w:bCs w:val="0"/>
          <w:lang w:val="en-US"/>
        </w:rPr>
        <w:t>tar</w:t>
      </w:r>
      <w:r w:rsidR="00B060FE">
        <w:rPr>
          <w:b w:val="0"/>
          <w:bCs w:val="0"/>
          <w:lang w:val="en-US"/>
        </w:rPr>
        <w:t>una</w:t>
      </w:r>
      <w:proofErr w:type="spellEnd"/>
      <w:r w:rsidR="001B243D">
        <w:rPr>
          <w:b w:val="0"/>
          <w:bCs w:val="0"/>
          <w:lang w:val="en-US"/>
        </w:rPr>
        <w:t xml:space="preserve"> (</w:t>
      </w:r>
      <w:proofErr w:type="spellStart"/>
      <w:r w:rsidR="001B243D">
        <w:rPr>
          <w:b w:val="0"/>
          <w:bCs w:val="0"/>
          <w:lang w:val="en-US"/>
        </w:rPr>
        <w:t>Katar</w:t>
      </w:r>
      <w:proofErr w:type="spellEnd"/>
      <w:r w:rsidR="001B243D">
        <w:rPr>
          <w:b w:val="0"/>
          <w:bCs w:val="0"/>
          <w:lang w:val="en-US"/>
        </w:rPr>
        <w:t>)</w:t>
      </w:r>
      <w:r w:rsidRPr="0054117F">
        <w:rPr>
          <w:b w:val="0"/>
          <w:bCs w:val="0"/>
          <w:lang w:val="en-US"/>
        </w:rPr>
        <w:t xml:space="preserve"> members, 10 </w:t>
      </w:r>
      <w:proofErr w:type="spellStart"/>
      <w:r w:rsidR="000D23BF">
        <w:rPr>
          <w:b w:val="0"/>
          <w:bCs w:val="0"/>
          <w:lang w:val="en-US"/>
        </w:rPr>
        <w:t>P</w:t>
      </w:r>
      <w:r w:rsidRPr="0054117F">
        <w:rPr>
          <w:b w:val="0"/>
          <w:bCs w:val="0"/>
          <w:lang w:val="en-US"/>
        </w:rPr>
        <w:t>osyandu</w:t>
      </w:r>
      <w:proofErr w:type="spellEnd"/>
      <w:r w:rsidRPr="0054117F">
        <w:rPr>
          <w:b w:val="0"/>
          <w:bCs w:val="0"/>
          <w:lang w:val="en-US"/>
        </w:rPr>
        <w:t xml:space="preserve"> cadres and a nutrition manager at the </w:t>
      </w:r>
      <w:proofErr w:type="spellStart"/>
      <w:r w:rsidRPr="0054117F">
        <w:rPr>
          <w:b w:val="0"/>
          <w:bCs w:val="0"/>
          <w:lang w:val="en-US"/>
        </w:rPr>
        <w:t>Balekambang</w:t>
      </w:r>
      <w:proofErr w:type="spellEnd"/>
      <w:r w:rsidRPr="0054117F">
        <w:rPr>
          <w:b w:val="0"/>
          <w:bCs w:val="0"/>
          <w:lang w:val="en-US"/>
        </w:rPr>
        <w:t xml:space="preserve"> Public Health Center who supervised community health in </w:t>
      </w:r>
      <w:proofErr w:type="spellStart"/>
      <w:r w:rsidRPr="0054117F">
        <w:rPr>
          <w:b w:val="0"/>
          <w:bCs w:val="0"/>
          <w:lang w:val="en-US"/>
        </w:rPr>
        <w:t>Sirnagalih</w:t>
      </w:r>
      <w:proofErr w:type="spellEnd"/>
      <w:r w:rsidRPr="0054117F">
        <w:rPr>
          <w:b w:val="0"/>
          <w:bCs w:val="0"/>
          <w:lang w:val="en-US"/>
        </w:rPr>
        <w:t xml:space="preserve"> village, Bogor, West Java. This research was conducted in </w:t>
      </w:r>
      <w:proofErr w:type="spellStart"/>
      <w:r w:rsidRPr="0054117F">
        <w:rPr>
          <w:b w:val="0"/>
          <w:bCs w:val="0"/>
          <w:lang w:val="en-US"/>
        </w:rPr>
        <w:t>Sirnagalih</w:t>
      </w:r>
      <w:proofErr w:type="spellEnd"/>
      <w:r w:rsidRPr="0054117F">
        <w:rPr>
          <w:b w:val="0"/>
          <w:bCs w:val="0"/>
          <w:lang w:val="en-US"/>
        </w:rPr>
        <w:t xml:space="preserve"> village, </w:t>
      </w:r>
      <w:proofErr w:type="spellStart"/>
      <w:r w:rsidRPr="0054117F">
        <w:rPr>
          <w:b w:val="0"/>
          <w:bCs w:val="0"/>
          <w:lang w:val="en-US"/>
        </w:rPr>
        <w:t>Jonggol</w:t>
      </w:r>
      <w:proofErr w:type="spellEnd"/>
      <w:r w:rsidRPr="0054117F">
        <w:rPr>
          <w:b w:val="0"/>
          <w:bCs w:val="0"/>
          <w:lang w:val="en-US"/>
        </w:rPr>
        <w:t xml:space="preserve"> district, Bogor district, West Java province in January 2022.</w:t>
      </w:r>
    </w:p>
    <w:p w14:paraId="2C0C1B2E" w14:textId="77777777" w:rsidR="000C04A8" w:rsidRDefault="000C04A8" w:rsidP="0054117F">
      <w:pPr>
        <w:pStyle w:val="Heading1"/>
        <w:jc w:val="both"/>
        <w:rPr>
          <w:lang w:val="en-US"/>
        </w:rPr>
      </w:pPr>
    </w:p>
    <w:p w14:paraId="7EDB57F8" w14:textId="087C8522" w:rsidR="0054117F" w:rsidRPr="0054117F" w:rsidRDefault="0054117F" w:rsidP="0054117F">
      <w:pPr>
        <w:pStyle w:val="Heading1"/>
        <w:jc w:val="both"/>
        <w:rPr>
          <w:lang w:val="en-US"/>
        </w:rPr>
      </w:pPr>
      <w:r w:rsidRPr="0054117F">
        <w:rPr>
          <w:lang w:val="en-US"/>
        </w:rPr>
        <w:t>Research variable</w:t>
      </w:r>
    </w:p>
    <w:p w14:paraId="7033803E" w14:textId="520E23A4" w:rsidR="0054117F" w:rsidRDefault="0054117F" w:rsidP="0054117F">
      <w:pPr>
        <w:pStyle w:val="Heading1"/>
        <w:ind w:left="0" w:firstLine="426"/>
        <w:jc w:val="both"/>
        <w:rPr>
          <w:b w:val="0"/>
          <w:bCs w:val="0"/>
          <w:lang w:val="en-US"/>
        </w:rPr>
      </w:pPr>
      <w:r w:rsidRPr="0054117F">
        <w:rPr>
          <w:b w:val="0"/>
          <w:bCs w:val="0"/>
          <w:lang w:val="en-US"/>
        </w:rPr>
        <w:t xml:space="preserve">The research variables consisted of Social Demographic Characteristics of CBO members (gender, age, education level, </w:t>
      </w:r>
      <w:r w:rsidRPr="0054117F">
        <w:rPr>
          <w:b w:val="0"/>
          <w:bCs w:val="0"/>
          <w:lang w:val="en-US"/>
        </w:rPr>
        <w:lastRenderedPageBreak/>
        <w:t xml:space="preserve">occupation, marital status, type of CBO followed, length of work and motivation to become a CBO administrator/member). This study also measures the level of knowledge, </w:t>
      </w:r>
      <w:proofErr w:type="gramStart"/>
      <w:r w:rsidRPr="0054117F">
        <w:rPr>
          <w:b w:val="0"/>
          <w:bCs w:val="0"/>
          <w:lang w:val="en-US"/>
        </w:rPr>
        <w:t>attitudes</w:t>
      </w:r>
      <w:proofErr w:type="gramEnd"/>
      <w:r w:rsidRPr="0054117F">
        <w:rPr>
          <w:b w:val="0"/>
          <w:bCs w:val="0"/>
          <w:lang w:val="en-US"/>
        </w:rPr>
        <w:t xml:space="preserve"> and self-efficacy of the program as well as the level of readiness of the management and CBO members in the program</w:t>
      </w:r>
      <w:r w:rsidR="001B243D">
        <w:rPr>
          <w:b w:val="0"/>
          <w:bCs w:val="0"/>
          <w:lang w:val="en-US"/>
        </w:rPr>
        <w:t>.</w:t>
      </w:r>
    </w:p>
    <w:p w14:paraId="7AB569C3" w14:textId="4566402C" w:rsidR="004A31D0" w:rsidRDefault="00306254" w:rsidP="003E6EB4">
      <w:pPr>
        <w:pStyle w:val="Heading1"/>
        <w:ind w:firstLine="426"/>
        <w:jc w:val="both"/>
        <w:rPr>
          <w:b w:val="0"/>
          <w:bCs w:val="0"/>
          <w:lang w:val="en-US"/>
        </w:rPr>
      </w:pPr>
      <w:r w:rsidRPr="00306254">
        <w:rPr>
          <w:b w:val="0"/>
          <w:bCs w:val="0"/>
          <w:lang w:val="en-US"/>
        </w:rPr>
        <w:t>The knowledge variable was measured by questions related to the definition of anemia, symptoms of anemia, the main causes of anemia, how to prevent anemia, the definition of iron folate tablets and their contents, types of foods that can reduce Hb levels in the blood, side effects of iron folate tablets, foods that are sources of iron. The attitude variable was measured on a Likert scale which measured the respondent's attitude towards 7 statement items consisting of; 1) taking iron tablets improves learning achievement, 2) if you suffer from anemia you will feel tired/tired easily, 3) an increased risk of developing anemia during menstruation, 4) taking iron folate tablets once a week can prevent anemia, 5) needing iron tablets to meet the needs nutrition, 6) increased risk of developing anemia if suffering from malaria/worms, and 7) habit of avoiding drinking coffee/tea while eating.</w:t>
      </w:r>
      <w:r w:rsidR="00DB1CCE">
        <w:rPr>
          <w:b w:val="0"/>
          <w:bCs w:val="0"/>
          <w:lang w:val="en-US"/>
        </w:rPr>
        <w:t xml:space="preserve"> The </w:t>
      </w:r>
      <w:r w:rsidR="003F724C">
        <w:rPr>
          <w:b w:val="0"/>
          <w:bCs w:val="0"/>
          <w:lang w:val="en-US"/>
        </w:rPr>
        <w:t>Efficacy</w:t>
      </w:r>
      <w:r w:rsidR="00DB1CCE">
        <w:rPr>
          <w:b w:val="0"/>
          <w:bCs w:val="0"/>
          <w:lang w:val="en-US"/>
        </w:rPr>
        <w:t xml:space="preserve"> variable was measured by</w:t>
      </w:r>
      <w:r w:rsidR="003E6EB4">
        <w:rPr>
          <w:b w:val="0"/>
          <w:bCs w:val="0"/>
          <w:lang w:val="en-US"/>
        </w:rPr>
        <w:t xml:space="preserve"> 4 statement items consisting of: </w:t>
      </w:r>
      <w:proofErr w:type="gramStart"/>
      <w:r w:rsidR="003E6EB4">
        <w:rPr>
          <w:b w:val="0"/>
          <w:bCs w:val="0"/>
          <w:lang w:val="en-US"/>
        </w:rPr>
        <w:t>1)</w:t>
      </w:r>
      <w:proofErr w:type="spellStart"/>
      <w:r w:rsidR="00270E35">
        <w:rPr>
          <w:b w:val="0"/>
          <w:bCs w:val="0"/>
          <w:lang w:val="en-US"/>
        </w:rPr>
        <w:t>Ka</w:t>
      </w:r>
      <w:r w:rsidR="001B243D">
        <w:rPr>
          <w:b w:val="0"/>
          <w:bCs w:val="0"/>
          <w:lang w:val="en-US"/>
        </w:rPr>
        <w:t>tar</w:t>
      </w:r>
      <w:proofErr w:type="spellEnd"/>
      <w:proofErr w:type="gramEnd"/>
      <w:r w:rsidR="003E6EB4" w:rsidRPr="003E6EB4">
        <w:rPr>
          <w:b w:val="0"/>
          <w:bCs w:val="0"/>
          <w:lang w:val="en-US"/>
        </w:rPr>
        <w:t xml:space="preserve"> and cadres can motivate young women to consume foods that are a source of iron, nutritionally balanced.</w:t>
      </w:r>
      <w:r w:rsidR="003E6EB4">
        <w:rPr>
          <w:b w:val="0"/>
          <w:bCs w:val="0"/>
          <w:lang w:val="en-US"/>
        </w:rPr>
        <w:t xml:space="preserve"> 2)</w:t>
      </w:r>
      <w:proofErr w:type="spellStart"/>
      <w:r w:rsidR="00270E35">
        <w:rPr>
          <w:b w:val="0"/>
          <w:bCs w:val="0"/>
          <w:lang w:val="en-US"/>
        </w:rPr>
        <w:t>Ka</w:t>
      </w:r>
      <w:r w:rsidR="001B243D">
        <w:rPr>
          <w:b w:val="0"/>
          <w:bCs w:val="0"/>
          <w:lang w:val="en-US"/>
        </w:rPr>
        <w:t>tar</w:t>
      </w:r>
      <w:proofErr w:type="spellEnd"/>
      <w:r w:rsidR="003E6EB4" w:rsidRPr="003E6EB4">
        <w:rPr>
          <w:b w:val="0"/>
          <w:bCs w:val="0"/>
          <w:lang w:val="en-US"/>
        </w:rPr>
        <w:t xml:space="preserve"> and cadres </w:t>
      </w:r>
      <w:r w:rsidR="001B243D" w:rsidRPr="003E6EB4">
        <w:rPr>
          <w:b w:val="0"/>
          <w:bCs w:val="0"/>
          <w:lang w:val="en-US"/>
        </w:rPr>
        <w:t>can</w:t>
      </w:r>
      <w:r w:rsidR="003E6EB4" w:rsidRPr="003E6EB4">
        <w:rPr>
          <w:b w:val="0"/>
          <w:bCs w:val="0"/>
          <w:lang w:val="en-US"/>
        </w:rPr>
        <w:t xml:space="preserve"> educate young women about anemia prevention and control</w:t>
      </w:r>
      <w:r w:rsidR="003E6EB4">
        <w:rPr>
          <w:b w:val="0"/>
          <w:bCs w:val="0"/>
          <w:lang w:val="en-US"/>
        </w:rPr>
        <w:t>. 3)</w:t>
      </w:r>
      <w:proofErr w:type="spellStart"/>
      <w:r w:rsidR="00270E35">
        <w:rPr>
          <w:b w:val="0"/>
          <w:bCs w:val="0"/>
          <w:lang w:val="en-US"/>
        </w:rPr>
        <w:t>Ka</w:t>
      </w:r>
      <w:r w:rsidR="001B243D">
        <w:rPr>
          <w:b w:val="0"/>
          <w:bCs w:val="0"/>
          <w:lang w:val="en-US"/>
        </w:rPr>
        <w:t>tar</w:t>
      </w:r>
      <w:proofErr w:type="spellEnd"/>
      <w:r w:rsidR="00270E35">
        <w:rPr>
          <w:b w:val="0"/>
          <w:bCs w:val="0"/>
          <w:lang w:val="en-US"/>
        </w:rPr>
        <w:t xml:space="preserve"> </w:t>
      </w:r>
      <w:r w:rsidR="003E6EB4" w:rsidRPr="003E6EB4">
        <w:rPr>
          <w:b w:val="0"/>
          <w:bCs w:val="0"/>
          <w:lang w:val="en-US"/>
        </w:rPr>
        <w:t xml:space="preserve">and cadres are able to </w:t>
      </w:r>
      <w:r w:rsidR="00880A04">
        <w:rPr>
          <w:b w:val="0"/>
          <w:bCs w:val="0"/>
          <w:lang w:val="en-US"/>
        </w:rPr>
        <w:t xml:space="preserve">organize female adolescent to take </w:t>
      </w:r>
      <w:proofErr w:type="gramStart"/>
      <w:r w:rsidR="00880A04">
        <w:rPr>
          <w:b w:val="0"/>
          <w:bCs w:val="0"/>
          <w:lang w:val="en-US"/>
        </w:rPr>
        <w:t xml:space="preserve">WIFAS </w:t>
      </w:r>
      <w:r w:rsidR="003E6EB4" w:rsidRPr="003E6EB4">
        <w:rPr>
          <w:b w:val="0"/>
          <w:bCs w:val="0"/>
          <w:lang w:val="en-US"/>
        </w:rPr>
        <w:t xml:space="preserve"> together</w:t>
      </w:r>
      <w:proofErr w:type="gramEnd"/>
      <w:r w:rsidR="003E6EB4">
        <w:rPr>
          <w:b w:val="0"/>
          <w:bCs w:val="0"/>
          <w:lang w:val="en-US"/>
        </w:rPr>
        <w:t>.4)</w:t>
      </w:r>
      <w:proofErr w:type="spellStart"/>
      <w:r w:rsidR="00270E35">
        <w:rPr>
          <w:b w:val="0"/>
          <w:bCs w:val="0"/>
          <w:lang w:val="en-US"/>
        </w:rPr>
        <w:t>Ka</w:t>
      </w:r>
      <w:r w:rsidR="001B243D">
        <w:rPr>
          <w:b w:val="0"/>
          <w:bCs w:val="0"/>
          <w:lang w:val="en-US"/>
        </w:rPr>
        <w:t>tar</w:t>
      </w:r>
      <w:proofErr w:type="spellEnd"/>
      <w:r w:rsidR="003E6EB4" w:rsidRPr="003E6EB4">
        <w:rPr>
          <w:b w:val="0"/>
          <w:bCs w:val="0"/>
          <w:lang w:val="en-US"/>
        </w:rPr>
        <w:t xml:space="preserve"> and cadres are able to monitor the compliance of young women drinking IFAS</w:t>
      </w:r>
    </w:p>
    <w:p w14:paraId="71BD1B28" w14:textId="77777777" w:rsidR="00622DE7" w:rsidRDefault="00622DE7" w:rsidP="003E6EB4">
      <w:pPr>
        <w:pStyle w:val="Heading1"/>
        <w:ind w:firstLine="426"/>
        <w:jc w:val="both"/>
        <w:rPr>
          <w:b w:val="0"/>
          <w:bCs w:val="0"/>
          <w:lang w:val="en-US"/>
        </w:rPr>
      </w:pPr>
    </w:p>
    <w:p w14:paraId="2140FA3E" w14:textId="77777777" w:rsidR="003F724C" w:rsidRPr="00E377C5" w:rsidRDefault="003F724C" w:rsidP="003F724C">
      <w:pPr>
        <w:pStyle w:val="Heading1"/>
        <w:jc w:val="both"/>
        <w:rPr>
          <w:lang w:val="en-US"/>
        </w:rPr>
      </w:pPr>
      <w:r w:rsidRPr="00E377C5">
        <w:rPr>
          <w:lang w:val="en-US"/>
        </w:rPr>
        <w:t>Types and methods of data collection</w:t>
      </w:r>
    </w:p>
    <w:p w14:paraId="3C8D6803" w14:textId="5B355C7C" w:rsidR="003F724C" w:rsidRDefault="003F724C" w:rsidP="003F724C">
      <w:pPr>
        <w:pStyle w:val="Heading1"/>
        <w:ind w:left="0" w:firstLine="426"/>
        <w:jc w:val="both"/>
        <w:rPr>
          <w:b w:val="0"/>
          <w:bCs w:val="0"/>
          <w:lang w:val="en-US"/>
        </w:rPr>
      </w:pPr>
      <w:r w:rsidRPr="003F724C">
        <w:rPr>
          <w:b w:val="0"/>
          <w:bCs w:val="0"/>
          <w:lang w:val="en-US"/>
        </w:rPr>
        <w:t xml:space="preserve">The data collected in this study consisted of 2 types of </w:t>
      </w:r>
      <w:r w:rsidR="00A20D41" w:rsidRPr="003F724C">
        <w:rPr>
          <w:b w:val="0"/>
          <w:bCs w:val="0"/>
          <w:lang w:val="en-US"/>
        </w:rPr>
        <w:t>data</w:t>
      </w:r>
      <w:r w:rsidR="00A20D41">
        <w:rPr>
          <w:b w:val="0"/>
          <w:bCs w:val="0"/>
          <w:lang w:val="en-US"/>
        </w:rPr>
        <w:t>:</w:t>
      </w:r>
      <w:r w:rsidRPr="003F724C">
        <w:rPr>
          <w:b w:val="0"/>
          <w:bCs w:val="0"/>
          <w:lang w:val="en-US"/>
        </w:rPr>
        <w:t xml:space="preserve"> quantitative data and qualitative data. Quantitative data, namely socio-demographic data, level of knowledge, attitudes, self-</w:t>
      </w:r>
      <w:r w:rsidR="00B060FE" w:rsidRPr="003F724C">
        <w:rPr>
          <w:b w:val="0"/>
          <w:bCs w:val="0"/>
          <w:lang w:val="en-US"/>
        </w:rPr>
        <w:t>efficacy,</w:t>
      </w:r>
      <w:r w:rsidRPr="003F724C">
        <w:rPr>
          <w:b w:val="0"/>
          <w:bCs w:val="0"/>
          <w:lang w:val="en-US"/>
        </w:rPr>
        <w:t xml:space="preserve"> and readiness of CBO members were collected by conducting face-to-face interviews and inputted into the g</w:t>
      </w:r>
      <w:r w:rsidR="000C04A8">
        <w:rPr>
          <w:b w:val="0"/>
          <w:bCs w:val="0"/>
          <w:lang w:val="en-US"/>
        </w:rPr>
        <w:t xml:space="preserve">oogle </w:t>
      </w:r>
      <w:r w:rsidRPr="003F724C">
        <w:rPr>
          <w:b w:val="0"/>
          <w:bCs w:val="0"/>
          <w:lang w:val="en-US"/>
        </w:rPr>
        <w:t xml:space="preserve">form template. Qualitative data such </w:t>
      </w:r>
      <w:r w:rsidRPr="003F724C">
        <w:rPr>
          <w:b w:val="0"/>
          <w:bCs w:val="0"/>
          <w:lang w:val="en-US"/>
        </w:rPr>
        <w:t>as supporting data were obtained by conducting interviews and integrated group discussions using an interview guide to the village head, head of</w:t>
      </w:r>
      <w:r w:rsidR="001B243D">
        <w:rPr>
          <w:b w:val="0"/>
          <w:bCs w:val="0"/>
          <w:lang w:val="en-US"/>
        </w:rPr>
        <w:t xml:space="preserve"> </w:t>
      </w:r>
      <w:proofErr w:type="spellStart"/>
      <w:r w:rsidR="001B243D">
        <w:rPr>
          <w:b w:val="0"/>
          <w:bCs w:val="0"/>
          <w:lang w:val="en-US"/>
        </w:rPr>
        <w:t>Katar</w:t>
      </w:r>
      <w:proofErr w:type="spellEnd"/>
      <w:r w:rsidRPr="003F724C">
        <w:rPr>
          <w:b w:val="0"/>
          <w:bCs w:val="0"/>
          <w:lang w:val="en-US"/>
        </w:rPr>
        <w:t xml:space="preserve">, and nutrition management staff at </w:t>
      </w:r>
      <w:proofErr w:type="spellStart"/>
      <w:r w:rsidRPr="003F724C">
        <w:rPr>
          <w:b w:val="0"/>
          <w:bCs w:val="0"/>
          <w:lang w:val="en-US"/>
        </w:rPr>
        <w:t>Balekambang</w:t>
      </w:r>
      <w:proofErr w:type="spellEnd"/>
      <w:r w:rsidRPr="003F724C">
        <w:rPr>
          <w:b w:val="0"/>
          <w:bCs w:val="0"/>
          <w:lang w:val="en-US"/>
        </w:rPr>
        <w:t xml:space="preserve"> Health Center.</w:t>
      </w:r>
    </w:p>
    <w:p w14:paraId="28EB3FDC" w14:textId="36851055" w:rsidR="003F724C" w:rsidRDefault="00E377C5" w:rsidP="004F4794">
      <w:pPr>
        <w:pStyle w:val="Heading1"/>
        <w:ind w:left="0" w:firstLine="426"/>
        <w:jc w:val="both"/>
        <w:rPr>
          <w:b w:val="0"/>
          <w:bCs w:val="0"/>
          <w:lang w:val="en-US"/>
        </w:rPr>
      </w:pPr>
      <w:r w:rsidRPr="00E377C5">
        <w:rPr>
          <w:b w:val="0"/>
          <w:bCs w:val="0"/>
          <w:lang w:val="en-US"/>
        </w:rPr>
        <w:t xml:space="preserve">The measurement of the level of community readiness was carried out by interviewing key informants using a community readiness instrument which was adapted and modified from the community readiness model instrument developed by researchers at the Tri-ethnic Center for prevention research in 1995 and the school readiness instrument in the school based </w:t>
      </w:r>
      <w:r w:rsidR="00CC7927">
        <w:rPr>
          <w:b w:val="0"/>
          <w:bCs w:val="0"/>
          <w:lang w:val="en-US"/>
        </w:rPr>
        <w:t>WIFAS</w:t>
      </w:r>
      <w:r w:rsidRPr="00E377C5">
        <w:rPr>
          <w:b w:val="0"/>
          <w:bCs w:val="0"/>
          <w:lang w:val="en-US"/>
        </w:rPr>
        <w:t xml:space="preserve"> program developed by Apriningsih. et, al.2020. Community readiness was measured using 5 dimensions of readiness, namely: the CBO effort dimension consisting of 3 question items, the leadership dimension consisting of 7 question items, the resource dimension consisting of 2 question items, the CBO understanding awareness dimension related to anemia consisting of 5 question items</w:t>
      </w:r>
      <w:r w:rsidR="001B243D" w:rsidRPr="00E377C5">
        <w:rPr>
          <w:b w:val="0"/>
          <w:bCs w:val="0"/>
          <w:lang w:val="en-US"/>
        </w:rPr>
        <w:t>,</w:t>
      </w:r>
      <w:r w:rsidRPr="00E377C5">
        <w:rPr>
          <w:b w:val="0"/>
          <w:bCs w:val="0"/>
          <w:lang w:val="en-US"/>
        </w:rPr>
        <w:t xml:space="preserve"> and the dimension of community climate which consists of 2 question items. The measurement of the score of each question item was carried out by a research team consisting of 3</w:t>
      </w:r>
      <w:r>
        <w:rPr>
          <w:b w:val="0"/>
          <w:bCs w:val="0"/>
          <w:lang w:val="en-US"/>
        </w:rPr>
        <w:t xml:space="preserve"> primary</w:t>
      </w:r>
      <w:r w:rsidRPr="00E377C5">
        <w:rPr>
          <w:b w:val="0"/>
          <w:bCs w:val="0"/>
          <w:lang w:val="en-US"/>
        </w:rPr>
        <w:t xml:space="preserve"> researchers.</w:t>
      </w:r>
    </w:p>
    <w:p w14:paraId="5112C3B8" w14:textId="77777777" w:rsidR="00622DE7" w:rsidRDefault="00622DE7" w:rsidP="004F4794">
      <w:pPr>
        <w:pStyle w:val="Heading1"/>
        <w:ind w:left="0" w:firstLine="426"/>
        <w:jc w:val="both"/>
        <w:rPr>
          <w:b w:val="0"/>
          <w:bCs w:val="0"/>
          <w:lang w:val="en-US"/>
        </w:rPr>
      </w:pPr>
    </w:p>
    <w:p w14:paraId="381E49B2" w14:textId="01780F17" w:rsidR="0094315D" w:rsidRPr="0094315D" w:rsidRDefault="0094315D" w:rsidP="0094315D">
      <w:pPr>
        <w:pStyle w:val="Heading1"/>
        <w:jc w:val="both"/>
        <w:rPr>
          <w:lang w:val="en-US"/>
        </w:rPr>
      </w:pPr>
      <w:r w:rsidRPr="0094315D">
        <w:rPr>
          <w:lang w:val="en-US"/>
        </w:rPr>
        <w:t>Processing and analysis of data</w:t>
      </w:r>
    </w:p>
    <w:p w14:paraId="7CFE0C19" w14:textId="77777777" w:rsidR="0094315D" w:rsidRPr="0094315D" w:rsidRDefault="0094315D" w:rsidP="0094315D">
      <w:pPr>
        <w:pStyle w:val="Heading1"/>
        <w:ind w:firstLine="426"/>
        <w:jc w:val="both"/>
        <w:rPr>
          <w:b w:val="0"/>
          <w:bCs w:val="0"/>
          <w:lang w:val="en-US"/>
        </w:rPr>
      </w:pPr>
      <w:r w:rsidRPr="0094315D">
        <w:rPr>
          <w:b w:val="0"/>
          <w:bCs w:val="0"/>
          <w:lang w:val="en-US"/>
        </w:rPr>
        <w:t>Qualitative data obtained from in-depth interviews and integrated group discussions were processed using qualitative data processing principles. Qualitative data analysis consists of preparing and organizing data for analysis. Furthermore, the data is reduced into themes through the process of coding and condensing the codes which are then presented according to the rules of qualitative research, namely in the form of quotations and presentation of secondary data.</w:t>
      </w:r>
    </w:p>
    <w:p w14:paraId="39232480" w14:textId="0C80550E" w:rsidR="0094315D" w:rsidRDefault="0094315D" w:rsidP="0094315D">
      <w:pPr>
        <w:pStyle w:val="Heading1"/>
        <w:ind w:firstLine="426"/>
        <w:jc w:val="both"/>
        <w:rPr>
          <w:b w:val="0"/>
          <w:bCs w:val="0"/>
          <w:lang w:val="en-US"/>
        </w:rPr>
      </w:pPr>
      <w:r w:rsidRPr="0094315D">
        <w:rPr>
          <w:b w:val="0"/>
          <w:bCs w:val="0"/>
          <w:lang w:val="en-US"/>
        </w:rPr>
        <w:t xml:space="preserve">The collected quantitative data was edited, </w:t>
      </w:r>
      <w:r w:rsidR="00A20D41" w:rsidRPr="0094315D">
        <w:rPr>
          <w:b w:val="0"/>
          <w:bCs w:val="0"/>
          <w:lang w:val="en-US"/>
        </w:rPr>
        <w:t>coded,</w:t>
      </w:r>
      <w:r w:rsidRPr="0094315D">
        <w:rPr>
          <w:b w:val="0"/>
          <w:bCs w:val="0"/>
          <w:lang w:val="en-US"/>
        </w:rPr>
        <w:t xml:space="preserve"> and inputted and analyzed using IBM SPSS software version 23. Data on socio-demographic characteristics, level of knowledge, attitudes and self-efficacy were analyzed descriptively, presented in the form of a table by presenting the frequency, </w:t>
      </w:r>
      <w:r w:rsidR="00270E35" w:rsidRPr="0094315D">
        <w:rPr>
          <w:b w:val="0"/>
          <w:bCs w:val="0"/>
          <w:lang w:val="en-US"/>
        </w:rPr>
        <w:lastRenderedPageBreak/>
        <w:t>number,</w:t>
      </w:r>
      <w:r w:rsidRPr="0094315D">
        <w:rPr>
          <w:b w:val="0"/>
          <w:bCs w:val="0"/>
          <w:lang w:val="en-US"/>
        </w:rPr>
        <w:t xml:space="preserve"> and percentage. Readiness data was analyzed by adding up the scores for each question item in each readiness dimension. </w:t>
      </w:r>
      <w:r w:rsidR="001B243D">
        <w:rPr>
          <w:b w:val="0"/>
          <w:bCs w:val="0"/>
          <w:lang w:val="en-US"/>
        </w:rPr>
        <w:t>T</w:t>
      </w:r>
      <w:r w:rsidRPr="0094315D">
        <w:rPr>
          <w:b w:val="0"/>
          <w:bCs w:val="0"/>
          <w:lang w:val="en-US"/>
        </w:rPr>
        <w:t>hen calculated the average score of all dimensions of readiness.</w:t>
      </w:r>
    </w:p>
    <w:p w14:paraId="0C5A368C" w14:textId="77777777" w:rsidR="001B243D" w:rsidRPr="0094315D" w:rsidRDefault="001B243D" w:rsidP="0094315D">
      <w:pPr>
        <w:pStyle w:val="Heading1"/>
        <w:ind w:firstLine="426"/>
        <w:jc w:val="both"/>
        <w:rPr>
          <w:b w:val="0"/>
          <w:bCs w:val="0"/>
          <w:lang w:val="en-US"/>
        </w:rPr>
      </w:pPr>
    </w:p>
    <w:p w14:paraId="143C2170" w14:textId="77777777" w:rsidR="0094315D" w:rsidRPr="001B243D" w:rsidRDefault="0094315D" w:rsidP="005C0383">
      <w:pPr>
        <w:pStyle w:val="Heading1"/>
        <w:jc w:val="both"/>
        <w:rPr>
          <w:lang w:val="en-US"/>
        </w:rPr>
      </w:pPr>
      <w:r w:rsidRPr="001B243D">
        <w:rPr>
          <w:lang w:val="en-US"/>
        </w:rPr>
        <w:t>Research ethics</w:t>
      </w:r>
    </w:p>
    <w:p w14:paraId="25A77DDC" w14:textId="67C2082B" w:rsidR="00E377C5" w:rsidRPr="003F724C" w:rsidRDefault="0094315D" w:rsidP="0094315D">
      <w:pPr>
        <w:pStyle w:val="Heading1"/>
        <w:ind w:left="0" w:firstLine="426"/>
        <w:jc w:val="both"/>
        <w:rPr>
          <w:b w:val="0"/>
          <w:bCs w:val="0"/>
          <w:lang w:val="en-US"/>
        </w:rPr>
      </w:pPr>
      <w:r w:rsidRPr="0094315D">
        <w:rPr>
          <w:b w:val="0"/>
          <w:bCs w:val="0"/>
          <w:lang w:val="en-US"/>
        </w:rPr>
        <w:t>This research has received ethical approval from the Health Research Ethics Committee, Universitas Pembangunan Nasional Veterans Jakarta Number. 499/XII/2021/KEPK</w:t>
      </w:r>
      <w:r w:rsidR="00A25667">
        <w:rPr>
          <w:b w:val="0"/>
          <w:bCs w:val="0"/>
          <w:lang w:val="en-US"/>
        </w:rPr>
        <w:t>.</w:t>
      </w:r>
    </w:p>
    <w:p w14:paraId="0FE4AB4D" w14:textId="528C6451" w:rsidR="003F724C" w:rsidRDefault="003F724C" w:rsidP="004F4794">
      <w:pPr>
        <w:pStyle w:val="Heading1"/>
        <w:ind w:left="0" w:firstLine="426"/>
        <w:jc w:val="both"/>
        <w:rPr>
          <w:b w:val="0"/>
          <w:bCs w:val="0"/>
          <w:lang w:val="id-ID"/>
        </w:rPr>
      </w:pPr>
    </w:p>
    <w:p w14:paraId="1C305B7D" w14:textId="77777777" w:rsidR="00AD6F56" w:rsidRDefault="00E5363A">
      <w:pPr>
        <w:pStyle w:val="Heading1"/>
        <w:ind w:left="0"/>
      </w:pPr>
      <w:r>
        <w:t>RESULT</w:t>
      </w:r>
    </w:p>
    <w:p w14:paraId="33028D57" w14:textId="77777777" w:rsidR="008707F1" w:rsidRDefault="008707F1" w:rsidP="005873A3">
      <w:pPr>
        <w:pStyle w:val="Body"/>
        <w:spacing w:line="240" w:lineRule="auto"/>
      </w:pPr>
      <w:r w:rsidRPr="004B39B2">
        <w:t xml:space="preserve">Community-based organizations in rural areas such as youth organizations and community health center cadres have the potential to be involved in development activities, including prevention and control programs for iron deficiency anemia in adolescent girls. The same thing was conveyed from interviews with the village head, the nutrition management staff of the </w:t>
      </w:r>
      <w:proofErr w:type="spellStart"/>
      <w:r w:rsidRPr="004B39B2">
        <w:t>Balekambang</w:t>
      </w:r>
      <w:proofErr w:type="spellEnd"/>
      <w:r w:rsidRPr="004B39B2">
        <w:t xml:space="preserve"> Health Center who developed the </w:t>
      </w:r>
      <w:proofErr w:type="spellStart"/>
      <w:r w:rsidRPr="004B39B2">
        <w:t>Sirnagalih</w:t>
      </w:r>
      <w:proofErr w:type="spellEnd"/>
      <w:r w:rsidRPr="004B39B2">
        <w:t xml:space="preserve"> village and the head of the </w:t>
      </w:r>
      <w:proofErr w:type="spellStart"/>
      <w:r w:rsidRPr="004B39B2">
        <w:t>Sirnagalih</w:t>
      </w:r>
      <w:proofErr w:type="spellEnd"/>
      <w:r w:rsidRPr="004B39B2">
        <w:t xml:space="preserve"> village youth organization below.</w:t>
      </w:r>
    </w:p>
    <w:p w14:paraId="03F50645" w14:textId="5A50D81E" w:rsidR="008707F1" w:rsidRDefault="008707F1" w:rsidP="005873A3">
      <w:pPr>
        <w:pStyle w:val="Body"/>
        <w:spacing w:line="240" w:lineRule="auto"/>
      </w:pPr>
      <w:r w:rsidRPr="006C48B5">
        <w:t xml:space="preserve">"As for the health problems of </w:t>
      </w:r>
      <w:r>
        <w:t>female adolescent</w:t>
      </w:r>
      <w:r w:rsidRPr="006C48B5">
        <w:t xml:space="preserve">, if it's here in </w:t>
      </w:r>
      <w:proofErr w:type="spellStart"/>
      <w:r w:rsidRPr="006C48B5">
        <w:t>Sirnagalih</w:t>
      </w:r>
      <w:proofErr w:type="spellEnd"/>
      <w:r w:rsidRPr="006C48B5">
        <w:t xml:space="preserve">, it tends to be minimal, yes, if it's the health problems of </w:t>
      </w:r>
      <w:r>
        <w:t>female adolescent</w:t>
      </w:r>
      <w:r w:rsidRPr="006C48B5">
        <w:t>, it's the most basic things... the usual diseases are fever, typhoid</w:t>
      </w:r>
      <w:r>
        <w:t xml:space="preserve"> fever</w:t>
      </w:r>
      <w:r w:rsidRPr="006C48B5">
        <w:t>. As mentioned earlier, anemia in adolescent girls may be present but not detected</w:t>
      </w:r>
      <w:r>
        <w:t xml:space="preserve"> yet</w:t>
      </w:r>
      <w:r w:rsidRPr="006C48B5">
        <w:t xml:space="preserve">” (head of </w:t>
      </w:r>
      <w:proofErr w:type="spellStart"/>
      <w:r w:rsidRPr="006C48B5">
        <w:t>Sirnagalih</w:t>
      </w:r>
      <w:proofErr w:type="spellEnd"/>
      <w:r w:rsidRPr="006C48B5">
        <w:t xml:space="preserve"> village, Bogor)</w:t>
      </w:r>
    </w:p>
    <w:p w14:paraId="5093723E" w14:textId="0651EA28" w:rsidR="008707F1" w:rsidRDefault="005873A3" w:rsidP="005873A3">
      <w:pPr>
        <w:ind w:firstLine="426"/>
        <w:jc w:val="both"/>
        <w:rPr>
          <w:rFonts w:eastAsia="BatangChe"/>
          <w:sz w:val="24"/>
          <w:szCs w:val="20"/>
          <w:lang w:val="en-US" w:eastAsia="ko-KR" w:bidi="ar-SA"/>
        </w:rPr>
      </w:pPr>
      <w:r w:rsidRPr="005873A3">
        <w:rPr>
          <w:rFonts w:eastAsia="BatangChe"/>
          <w:sz w:val="24"/>
          <w:szCs w:val="20"/>
          <w:lang w:val="en-US" w:eastAsia="ko-KR" w:bidi="ar-SA"/>
        </w:rPr>
        <w:t xml:space="preserve">“Usually, iron folate supplementation program for young girls is carried out at the target schools. Since the pandemic everything has been hampered, all health programs including PMT-AS, giving iron folate for young women and pregnant women. If you want to involve youth organizations and </w:t>
      </w:r>
      <w:proofErr w:type="spellStart"/>
      <w:r w:rsidRPr="005873A3">
        <w:rPr>
          <w:rFonts w:eastAsia="BatangChe"/>
          <w:sz w:val="24"/>
          <w:szCs w:val="20"/>
          <w:lang w:val="en-US" w:eastAsia="ko-KR" w:bidi="ar-SA"/>
        </w:rPr>
        <w:t>posyandu</w:t>
      </w:r>
      <w:proofErr w:type="spellEnd"/>
      <w:r w:rsidRPr="005873A3">
        <w:rPr>
          <w:rFonts w:eastAsia="BatangChe"/>
          <w:sz w:val="24"/>
          <w:szCs w:val="20"/>
          <w:lang w:val="en-US" w:eastAsia="ko-KR" w:bidi="ar-SA"/>
        </w:rPr>
        <w:t xml:space="preserve"> cadres, that's great. Because if I </w:t>
      </w:r>
      <w:proofErr w:type="gramStart"/>
      <w:r w:rsidRPr="005873A3">
        <w:rPr>
          <w:rFonts w:eastAsia="BatangChe"/>
          <w:sz w:val="24"/>
          <w:szCs w:val="20"/>
          <w:lang w:val="en-US" w:eastAsia="ko-KR" w:bidi="ar-SA"/>
        </w:rPr>
        <w:t>have to</w:t>
      </w:r>
      <w:proofErr w:type="gramEnd"/>
      <w:r w:rsidRPr="005873A3">
        <w:rPr>
          <w:rFonts w:eastAsia="BatangChe"/>
          <w:sz w:val="24"/>
          <w:szCs w:val="20"/>
          <w:lang w:val="en-US" w:eastAsia="ko-KR" w:bidi="ar-SA"/>
        </w:rPr>
        <w:t xml:space="preserve"> go down to the village myself, I can't afford it.” (Nutrition staff at </w:t>
      </w:r>
      <w:proofErr w:type="spellStart"/>
      <w:r w:rsidRPr="005873A3">
        <w:rPr>
          <w:rFonts w:eastAsia="BatangChe"/>
          <w:sz w:val="24"/>
          <w:szCs w:val="20"/>
          <w:lang w:val="en-US" w:eastAsia="ko-KR" w:bidi="ar-SA"/>
        </w:rPr>
        <w:t>Balekambang</w:t>
      </w:r>
      <w:proofErr w:type="spellEnd"/>
      <w:r w:rsidRPr="005873A3">
        <w:rPr>
          <w:rFonts w:eastAsia="BatangChe"/>
          <w:sz w:val="24"/>
          <w:szCs w:val="20"/>
          <w:lang w:val="en-US" w:eastAsia="ko-KR" w:bidi="ar-SA"/>
        </w:rPr>
        <w:t xml:space="preserve"> Health Center, Bogor)</w:t>
      </w:r>
      <w:r>
        <w:rPr>
          <w:rFonts w:eastAsia="BatangChe"/>
          <w:sz w:val="24"/>
          <w:szCs w:val="20"/>
          <w:lang w:val="en-US" w:eastAsia="ko-KR" w:bidi="ar-SA"/>
        </w:rPr>
        <w:t>.</w:t>
      </w:r>
    </w:p>
    <w:p w14:paraId="0F90AA7F" w14:textId="45C5AD21" w:rsidR="005873A3" w:rsidRDefault="005873A3" w:rsidP="005873A3">
      <w:pPr>
        <w:ind w:firstLine="426"/>
        <w:jc w:val="both"/>
        <w:rPr>
          <w:sz w:val="24"/>
          <w:szCs w:val="24"/>
          <w:lang w:val="id-ID"/>
        </w:rPr>
      </w:pPr>
      <w:r w:rsidRPr="005873A3">
        <w:rPr>
          <w:sz w:val="24"/>
          <w:szCs w:val="24"/>
          <w:lang w:val="id-ID"/>
        </w:rPr>
        <w:t xml:space="preserve">“So far, there has been no youth organization involved for special health programs, most often Posyandu cadres. If we want to be involved now, we are very happy to be able to participate. Even though we still </w:t>
      </w:r>
      <w:r w:rsidRPr="005873A3">
        <w:rPr>
          <w:sz w:val="24"/>
          <w:szCs w:val="24"/>
          <w:lang w:val="id-ID"/>
        </w:rPr>
        <w:t>have to be accompanied by Posyandu cadres</w:t>
      </w:r>
      <w:r w:rsidR="00AB59E4">
        <w:rPr>
          <w:sz w:val="24"/>
          <w:szCs w:val="24"/>
          <w:lang w:val="en-US"/>
        </w:rPr>
        <w:t>,</w:t>
      </w:r>
      <w:r w:rsidRPr="005873A3">
        <w:rPr>
          <w:sz w:val="24"/>
          <w:szCs w:val="24"/>
          <w:lang w:val="id-ID"/>
        </w:rPr>
        <w:t>Puskesmas or health workers</w:t>
      </w:r>
      <w:r w:rsidR="00AB59E4">
        <w:rPr>
          <w:sz w:val="24"/>
          <w:szCs w:val="24"/>
          <w:lang w:val="en-US"/>
        </w:rPr>
        <w:t>. B</w:t>
      </w:r>
      <w:r w:rsidR="00AB59E4" w:rsidRPr="00AB59E4">
        <w:rPr>
          <w:sz w:val="24"/>
          <w:szCs w:val="24"/>
          <w:lang w:val="en-US"/>
        </w:rPr>
        <w:t xml:space="preserve">ecause many of the administrators and members of </w:t>
      </w:r>
      <w:proofErr w:type="spellStart"/>
      <w:r w:rsidR="008A7246">
        <w:rPr>
          <w:sz w:val="24"/>
          <w:szCs w:val="24"/>
          <w:lang w:val="en-US"/>
        </w:rPr>
        <w:t>Katar</w:t>
      </w:r>
      <w:proofErr w:type="spellEnd"/>
      <w:r w:rsidR="00AB59E4" w:rsidRPr="00AB59E4">
        <w:rPr>
          <w:sz w:val="24"/>
          <w:szCs w:val="24"/>
          <w:lang w:val="en-US"/>
        </w:rPr>
        <w:t xml:space="preserve"> work outside the village on weekdays and can only be active on weekends in the village</w:t>
      </w:r>
      <w:r w:rsidRPr="005873A3">
        <w:rPr>
          <w:sz w:val="24"/>
          <w:szCs w:val="24"/>
          <w:lang w:val="id-ID"/>
        </w:rPr>
        <w:t>” (Chairman of Katar in Sirnagalih Village, Bogor)</w:t>
      </w:r>
    </w:p>
    <w:p w14:paraId="062C84D5" w14:textId="5125A9D1" w:rsidR="00524EEF" w:rsidRDefault="00F31353" w:rsidP="004F4794">
      <w:pPr>
        <w:ind w:firstLine="426"/>
        <w:jc w:val="both"/>
        <w:rPr>
          <w:sz w:val="24"/>
          <w:szCs w:val="24"/>
          <w:lang w:val="id-ID"/>
        </w:rPr>
      </w:pPr>
      <w:r w:rsidRPr="00F31353">
        <w:rPr>
          <w:sz w:val="24"/>
          <w:szCs w:val="24"/>
          <w:lang w:val="id-ID"/>
        </w:rPr>
        <w:t xml:space="preserve">Efforts to involve members and or administrators of youth organizations and Posyandu cadres in the program to improve the anemia status of adolescent girls are increasingly needed during the COVID-19 pandemic. When the school-based program of giving iron and folate to young girls cannot be implemented due to the implementation of distance learning. So that the school, especially the teacher in charge of the </w:t>
      </w:r>
      <w:r w:rsidR="00CD2945">
        <w:rPr>
          <w:sz w:val="24"/>
          <w:szCs w:val="24"/>
          <w:lang w:val="en-US"/>
        </w:rPr>
        <w:t>school based health post</w:t>
      </w:r>
      <w:r w:rsidRPr="00F31353">
        <w:rPr>
          <w:sz w:val="24"/>
          <w:szCs w:val="24"/>
          <w:lang w:val="id-ID"/>
        </w:rPr>
        <w:t xml:space="preserve"> program, cannot hold an event to drink iron folate together, monitor and document the compliance of students taking iron folate at school.</w:t>
      </w:r>
    </w:p>
    <w:p w14:paraId="37FD57FB" w14:textId="05491EF8" w:rsidR="00F31353" w:rsidRDefault="00B91E9B" w:rsidP="004F4794">
      <w:pPr>
        <w:ind w:firstLine="426"/>
        <w:jc w:val="both"/>
        <w:rPr>
          <w:sz w:val="24"/>
          <w:szCs w:val="24"/>
          <w:lang w:val="id-ID"/>
        </w:rPr>
      </w:pPr>
      <w:r w:rsidRPr="00B91E9B">
        <w:rPr>
          <w:sz w:val="24"/>
          <w:szCs w:val="24"/>
          <w:lang w:val="id-ID"/>
        </w:rPr>
        <w:t>"Teenagers are often disobedient in taking iron folate supplements, so they need to be supervised, if there are teachers at school and there is a compliance report sheet. If it's in the village, it's also good if someone can monitor the drinking of the iron and use the monitoring sheet too” (Nutrition staff at Balekambang Health Center, Bogor)</w:t>
      </w:r>
    </w:p>
    <w:p w14:paraId="6135CF8E" w14:textId="7F868CC0" w:rsidR="00B91E9B" w:rsidRDefault="00B91E9B" w:rsidP="004F4794">
      <w:pPr>
        <w:ind w:firstLine="426"/>
        <w:jc w:val="both"/>
        <w:rPr>
          <w:sz w:val="24"/>
          <w:szCs w:val="24"/>
          <w:lang w:val="id-ID"/>
        </w:rPr>
      </w:pPr>
      <w:r w:rsidRPr="00B91E9B">
        <w:rPr>
          <w:sz w:val="24"/>
          <w:szCs w:val="24"/>
          <w:lang w:val="id-ID"/>
        </w:rPr>
        <w:t>The community based organization (CBO) consisting of youth organizations</w:t>
      </w:r>
      <w:r w:rsidR="005916C4">
        <w:rPr>
          <w:sz w:val="24"/>
          <w:szCs w:val="24"/>
          <w:lang w:val="en-US"/>
        </w:rPr>
        <w:t xml:space="preserve"> (</w:t>
      </w:r>
      <w:proofErr w:type="spellStart"/>
      <w:r w:rsidR="005916C4">
        <w:rPr>
          <w:sz w:val="24"/>
          <w:szCs w:val="24"/>
          <w:lang w:val="en-US"/>
        </w:rPr>
        <w:t>karang</w:t>
      </w:r>
      <w:proofErr w:type="spellEnd"/>
      <w:r w:rsidR="005916C4">
        <w:rPr>
          <w:sz w:val="24"/>
          <w:szCs w:val="24"/>
          <w:lang w:val="en-US"/>
        </w:rPr>
        <w:t xml:space="preserve"> </w:t>
      </w:r>
      <w:proofErr w:type="spellStart"/>
      <w:r w:rsidR="005916C4">
        <w:rPr>
          <w:sz w:val="24"/>
          <w:szCs w:val="24"/>
          <w:lang w:val="en-US"/>
        </w:rPr>
        <w:t>taruna</w:t>
      </w:r>
      <w:proofErr w:type="spellEnd"/>
      <w:r w:rsidR="005916C4">
        <w:rPr>
          <w:sz w:val="24"/>
          <w:szCs w:val="24"/>
          <w:lang w:val="en-US"/>
        </w:rPr>
        <w:t xml:space="preserve"> or </w:t>
      </w:r>
      <w:proofErr w:type="spellStart"/>
      <w:r w:rsidR="005916C4">
        <w:rPr>
          <w:sz w:val="24"/>
          <w:szCs w:val="24"/>
          <w:lang w:val="en-US"/>
        </w:rPr>
        <w:t>Katar</w:t>
      </w:r>
      <w:proofErr w:type="spellEnd"/>
      <w:r w:rsidR="005916C4">
        <w:rPr>
          <w:sz w:val="24"/>
          <w:szCs w:val="24"/>
          <w:lang w:val="en-US"/>
        </w:rPr>
        <w:t xml:space="preserve"> in Bahasa)</w:t>
      </w:r>
      <w:r w:rsidRPr="00B91E9B">
        <w:rPr>
          <w:sz w:val="24"/>
          <w:szCs w:val="24"/>
          <w:lang w:val="id-ID"/>
        </w:rPr>
        <w:t xml:space="preserve"> and posyandu cadres involved in this study has the characteristics as described in table 1. The majority of respondents are female, married, have junior high school education, with a balanced proportion of age between the age groups 20-29 and 50- 59 years old, and acts as a social group administrator in Sirnagalih village, Jonggol, West Java. The length of time they take part in katar and cadres, half of them say it's less than 2 years, the other half say it's more than 2 years.</w:t>
      </w:r>
    </w:p>
    <w:p w14:paraId="1377039A" w14:textId="77777777" w:rsidR="00622DE7" w:rsidRDefault="00622DE7" w:rsidP="00622DE7">
      <w:pPr>
        <w:ind w:firstLine="426"/>
        <w:jc w:val="both"/>
        <w:rPr>
          <w:sz w:val="24"/>
          <w:szCs w:val="24"/>
          <w:lang w:val="id-ID"/>
        </w:rPr>
      </w:pPr>
      <w:r w:rsidRPr="007D53D1">
        <w:rPr>
          <w:sz w:val="24"/>
          <w:szCs w:val="24"/>
          <w:lang w:val="id-ID"/>
        </w:rPr>
        <w:t xml:space="preserve">Karang Taruna members and posyandu cadres have a balanced proportion of motivation to become CBO members between their own desires and being invited by village officials, in this case most of them claim to be invited by </w:t>
      </w:r>
      <w:r>
        <w:rPr>
          <w:sz w:val="24"/>
          <w:szCs w:val="24"/>
          <w:lang w:val="en-US"/>
        </w:rPr>
        <w:t>Bu</w:t>
      </w:r>
      <w:r w:rsidRPr="007D53D1">
        <w:rPr>
          <w:sz w:val="24"/>
          <w:szCs w:val="24"/>
          <w:lang w:val="id-ID"/>
        </w:rPr>
        <w:t xml:space="preserve"> Lurah. Bu Lurah also chose them because she saw the people who were </w:t>
      </w:r>
      <w:r w:rsidRPr="007D53D1">
        <w:rPr>
          <w:sz w:val="24"/>
          <w:szCs w:val="24"/>
          <w:lang w:val="id-ID"/>
        </w:rPr>
        <w:lastRenderedPageBreak/>
        <w:t xml:space="preserve">invited to be active in the community. The following is a statement from one respondent about the reasons for being a board member and a member of the </w:t>
      </w:r>
      <w:r>
        <w:rPr>
          <w:sz w:val="24"/>
          <w:szCs w:val="24"/>
          <w:lang w:val="en-US"/>
        </w:rPr>
        <w:t>CBO</w:t>
      </w:r>
      <w:r w:rsidRPr="007D53D1">
        <w:rPr>
          <w:sz w:val="24"/>
          <w:szCs w:val="24"/>
          <w:lang w:val="id-ID"/>
        </w:rPr>
        <w:t>:</w:t>
      </w:r>
    </w:p>
    <w:p w14:paraId="57D1E7F0" w14:textId="77777777" w:rsidR="00622DE7" w:rsidRDefault="00622DE7" w:rsidP="00622DE7">
      <w:pPr>
        <w:ind w:firstLine="426"/>
        <w:jc w:val="both"/>
        <w:rPr>
          <w:sz w:val="24"/>
          <w:szCs w:val="24"/>
          <w:lang w:val="en-US"/>
        </w:rPr>
      </w:pPr>
      <w:r w:rsidRPr="005916C4">
        <w:rPr>
          <w:sz w:val="24"/>
          <w:szCs w:val="24"/>
          <w:lang w:val="id-ID"/>
        </w:rPr>
        <w:t>"I was invited by the village head because I was already active in religious activities so I often met a lot of people ... so I was elected"</w:t>
      </w:r>
      <w:r>
        <w:rPr>
          <w:sz w:val="24"/>
          <w:szCs w:val="24"/>
          <w:lang w:val="en-US"/>
        </w:rPr>
        <w:t xml:space="preserve"> </w:t>
      </w:r>
    </w:p>
    <w:p w14:paraId="2ABBB67C" w14:textId="77777777" w:rsidR="00622DE7" w:rsidRPr="005916C4" w:rsidRDefault="00622DE7" w:rsidP="00622DE7">
      <w:pPr>
        <w:jc w:val="both"/>
        <w:rPr>
          <w:sz w:val="24"/>
          <w:szCs w:val="24"/>
          <w:lang w:val="en-US"/>
        </w:rPr>
      </w:pPr>
      <w:r>
        <w:rPr>
          <w:sz w:val="24"/>
          <w:szCs w:val="24"/>
          <w:lang w:val="en-US"/>
        </w:rPr>
        <w:t xml:space="preserve">(“A” a </w:t>
      </w:r>
      <w:proofErr w:type="spellStart"/>
      <w:r>
        <w:rPr>
          <w:sz w:val="24"/>
          <w:szCs w:val="24"/>
          <w:lang w:val="en-US"/>
        </w:rPr>
        <w:t>Posyandu</w:t>
      </w:r>
      <w:proofErr w:type="spellEnd"/>
      <w:r>
        <w:rPr>
          <w:sz w:val="24"/>
          <w:szCs w:val="24"/>
          <w:lang w:val="en-US"/>
        </w:rPr>
        <w:t xml:space="preserve"> Cadre)</w:t>
      </w:r>
    </w:p>
    <w:p w14:paraId="7E5473C8" w14:textId="77777777" w:rsidR="00622DE7" w:rsidRPr="005916C4" w:rsidRDefault="00622DE7" w:rsidP="00622DE7">
      <w:pPr>
        <w:ind w:firstLine="426"/>
        <w:jc w:val="both"/>
        <w:rPr>
          <w:sz w:val="24"/>
          <w:szCs w:val="24"/>
          <w:lang w:val="en-US"/>
        </w:rPr>
      </w:pPr>
      <w:r w:rsidRPr="005916C4">
        <w:rPr>
          <w:sz w:val="24"/>
          <w:szCs w:val="24"/>
          <w:lang w:val="id-ID"/>
        </w:rPr>
        <w:t>“My own desire because I like to organize and socialize, meet many people</w:t>
      </w:r>
      <w:r>
        <w:rPr>
          <w:sz w:val="24"/>
          <w:szCs w:val="24"/>
          <w:lang w:val="en-US"/>
        </w:rPr>
        <w:t xml:space="preserve">. (“S” a Karang </w:t>
      </w:r>
      <w:proofErr w:type="spellStart"/>
      <w:r>
        <w:rPr>
          <w:sz w:val="24"/>
          <w:szCs w:val="24"/>
          <w:lang w:val="en-US"/>
        </w:rPr>
        <w:t>taruna</w:t>
      </w:r>
      <w:proofErr w:type="spellEnd"/>
      <w:r>
        <w:rPr>
          <w:sz w:val="24"/>
          <w:szCs w:val="24"/>
          <w:lang w:val="en-US"/>
        </w:rPr>
        <w:t xml:space="preserve"> member)</w:t>
      </w:r>
    </w:p>
    <w:p w14:paraId="57DA266A" w14:textId="77777777" w:rsidR="00B91E9B" w:rsidRDefault="00B91E9B" w:rsidP="004F4794">
      <w:pPr>
        <w:ind w:firstLine="426"/>
        <w:jc w:val="both"/>
        <w:rPr>
          <w:sz w:val="24"/>
          <w:szCs w:val="24"/>
          <w:lang w:val="id-ID"/>
        </w:rPr>
      </w:pPr>
    </w:p>
    <w:p w14:paraId="7B2F504B" w14:textId="77777777" w:rsidR="00B566F9" w:rsidRDefault="00B91E9B" w:rsidP="00B566F9">
      <w:pPr>
        <w:pStyle w:val="Body"/>
        <w:spacing w:line="240" w:lineRule="exact"/>
        <w:ind w:firstLine="0"/>
        <w:jc w:val="center"/>
        <w:rPr>
          <w:b/>
          <w:bCs/>
          <w:szCs w:val="24"/>
        </w:rPr>
      </w:pPr>
      <w:r w:rsidRPr="004C5657">
        <w:rPr>
          <w:szCs w:val="24"/>
        </w:rPr>
        <w:t>T</w:t>
      </w:r>
      <w:r w:rsidRPr="004C5657">
        <w:rPr>
          <w:b/>
          <w:bCs/>
          <w:szCs w:val="24"/>
        </w:rPr>
        <w:t>able 1. Socio</w:t>
      </w:r>
      <w:r>
        <w:rPr>
          <w:b/>
          <w:bCs/>
          <w:szCs w:val="24"/>
        </w:rPr>
        <w:t>-</w:t>
      </w:r>
      <w:r w:rsidRPr="004C5657">
        <w:rPr>
          <w:b/>
          <w:bCs/>
          <w:szCs w:val="24"/>
        </w:rPr>
        <w:t>Demographic</w:t>
      </w:r>
      <w:r>
        <w:rPr>
          <w:b/>
          <w:bCs/>
          <w:szCs w:val="24"/>
        </w:rPr>
        <w:t xml:space="preserve"> </w:t>
      </w:r>
      <w:r w:rsidRPr="004C5657">
        <w:rPr>
          <w:b/>
          <w:bCs/>
          <w:szCs w:val="24"/>
        </w:rPr>
        <w:t xml:space="preserve">Characteristics </w:t>
      </w:r>
      <w:proofErr w:type="gramStart"/>
      <w:r w:rsidRPr="004C5657">
        <w:rPr>
          <w:b/>
          <w:bCs/>
          <w:szCs w:val="24"/>
        </w:rPr>
        <w:t xml:space="preserve">of  </w:t>
      </w:r>
      <w:r>
        <w:rPr>
          <w:b/>
          <w:bCs/>
          <w:szCs w:val="24"/>
        </w:rPr>
        <w:t>Community</w:t>
      </w:r>
      <w:proofErr w:type="gramEnd"/>
      <w:r>
        <w:rPr>
          <w:b/>
          <w:bCs/>
          <w:szCs w:val="24"/>
        </w:rPr>
        <w:t xml:space="preserve"> Based Organization</w:t>
      </w:r>
      <w:r w:rsidR="00B566F9">
        <w:rPr>
          <w:b/>
          <w:bCs/>
          <w:szCs w:val="24"/>
        </w:rPr>
        <w:t xml:space="preserve"> (CBO) members of </w:t>
      </w:r>
    </w:p>
    <w:p w14:paraId="607C3B58" w14:textId="322001EA" w:rsidR="00B91E9B" w:rsidRDefault="00B566F9" w:rsidP="00B566F9">
      <w:pPr>
        <w:pStyle w:val="Body"/>
        <w:spacing w:line="240" w:lineRule="exact"/>
        <w:ind w:firstLine="0"/>
        <w:jc w:val="center"/>
        <w:rPr>
          <w:b/>
          <w:bCs/>
          <w:szCs w:val="24"/>
        </w:rPr>
      </w:pPr>
      <w:proofErr w:type="spellStart"/>
      <w:r>
        <w:rPr>
          <w:b/>
          <w:bCs/>
          <w:szCs w:val="24"/>
        </w:rPr>
        <w:t>Desa</w:t>
      </w:r>
      <w:proofErr w:type="spellEnd"/>
      <w:r>
        <w:rPr>
          <w:b/>
          <w:bCs/>
          <w:szCs w:val="24"/>
        </w:rPr>
        <w:t xml:space="preserve"> </w:t>
      </w:r>
      <w:proofErr w:type="spellStart"/>
      <w:r>
        <w:rPr>
          <w:b/>
          <w:bCs/>
          <w:szCs w:val="24"/>
        </w:rPr>
        <w:t>Sirnagalih</w:t>
      </w:r>
      <w:proofErr w:type="spellEnd"/>
    </w:p>
    <w:p w14:paraId="10F63D5C" w14:textId="77777777" w:rsidR="00B566F9" w:rsidRPr="00B566F9" w:rsidRDefault="00B566F9" w:rsidP="00B566F9">
      <w:pPr>
        <w:pStyle w:val="Body"/>
        <w:spacing w:line="240" w:lineRule="exact"/>
        <w:ind w:firstLine="0"/>
        <w:jc w:val="center"/>
        <w:rPr>
          <w:b/>
          <w:bCs/>
          <w:szCs w:val="24"/>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410"/>
        <w:gridCol w:w="1317"/>
        <w:gridCol w:w="654"/>
      </w:tblGrid>
      <w:tr w:rsidR="00B91E9B" w:rsidRPr="009E2947" w14:paraId="587A69AC" w14:textId="77777777" w:rsidTr="00B566F9">
        <w:tc>
          <w:tcPr>
            <w:tcW w:w="2410" w:type="dxa"/>
            <w:tcBorders>
              <w:top w:val="single" w:sz="4" w:space="0" w:color="auto"/>
              <w:bottom w:val="single" w:sz="4" w:space="0" w:color="auto"/>
            </w:tcBorders>
            <w:shd w:val="clear" w:color="auto" w:fill="auto"/>
          </w:tcPr>
          <w:p w14:paraId="18FD9A14" w14:textId="77777777" w:rsidR="00B91E9B" w:rsidRPr="00B566F9" w:rsidRDefault="00B91E9B" w:rsidP="00FC0C1D">
            <w:pPr>
              <w:rPr>
                <w:rFonts w:eastAsia="Calibri"/>
                <w:b/>
                <w:bCs/>
                <w:sz w:val="20"/>
                <w:szCs w:val="20"/>
              </w:rPr>
            </w:pPr>
            <w:r w:rsidRPr="00B566F9">
              <w:rPr>
                <w:rFonts w:eastAsia="Calibri"/>
                <w:b/>
                <w:bCs/>
                <w:sz w:val="20"/>
                <w:szCs w:val="20"/>
              </w:rPr>
              <w:t>Socio Demographic Characteristics</w:t>
            </w:r>
          </w:p>
        </w:tc>
        <w:tc>
          <w:tcPr>
            <w:tcW w:w="1317" w:type="dxa"/>
            <w:tcBorders>
              <w:top w:val="single" w:sz="4" w:space="0" w:color="auto"/>
              <w:bottom w:val="single" w:sz="4" w:space="0" w:color="auto"/>
            </w:tcBorders>
            <w:shd w:val="clear" w:color="auto" w:fill="auto"/>
          </w:tcPr>
          <w:p w14:paraId="540CB573" w14:textId="77777777" w:rsidR="00B91E9B" w:rsidRPr="00B566F9" w:rsidRDefault="00B91E9B" w:rsidP="00FC0C1D">
            <w:pPr>
              <w:rPr>
                <w:rFonts w:eastAsia="Calibri"/>
                <w:b/>
                <w:bCs/>
                <w:sz w:val="20"/>
                <w:szCs w:val="20"/>
              </w:rPr>
            </w:pPr>
            <w:r w:rsidRPr="00B566F9">
              <w:rPr>
                <w:rFonts w:eastAsia="Calibri"/>
                <w:b/>
                <w:bCs/>
                <w:sz w:val="20"/>
                <w:szCs w:val="20"/>
              </w:rPr>
              <w:t>Frequency</w:t>
            </w:r>
          </w:p>
        </w:tc>
        <w:tc>
          <w:tcPr>
            <w:tcW w:w="654" w:type="dxa"/>
            <w:tcBorders>
              <w:top w:val="single" w:sz="4" w:space="0" w:color="auto"/>
              <w:bottom w:val="single" w:sz="4" w:space="0" w:color="auto"/>
            </w:tcBorders>
            <w:shd w:val="clear" w:color="auto" w:fill="auto"/>
          </w:tcPr>
          <w:p w14:paraId="0699E1DC" w14:textId="77777777" w:rsidR="00B91E9B" w:rsidRPr="00B566F9" w:rsidRDefault="00B91E9B" w:rsidP="00FC0C1D">
            <w:pPr>
              <w:rPr>
                <w:rFonts w:eastAsia="Calibri"/>
                <w:b/>
                <w:bCs/>
                <w:sz w:val="20"/>
                <w:szCs w:val="20"/>
              </w:rPr>
            </w:pPr>
            <w:r w:rsidRPr="00B566F9">
              <w:rPr>
                <w:rFonts w:eastAsia="Calibri"/>
                <w:b/>
                <w:bCs/>
                <w:sz w:val="20"/>
                <w:szCs w:val="20"/>
              </w:rPr>
              <w:t>%</w:t>
            </w:r>
          </w:p>
        </w:tc>
      </w:tr>
      <w:tr w:rsidR="00B91E9B" w:rsidRPr="0071427E" w14:paraId="5D527B62" w14:textId="77777777" w:rsidTr="00B566F9">
        <w:tc>
          <w:tcPr>
            <w:tcW w:w="2410" w:type="dxa"/>
            <w:tcBorders>
              <w:top w:val="single" w:sz="4" w:space="0" w:color="auto"/>
            </w:tcBorders>
            <w:shd w:val="clear" w:color="auto" w:fill="auto"/>
          </w:tcPr>
          <w:p w14:paraId="6B34C087" w14:textId="77777777" w:rsidR="00B91E9B" w:rsidRPr="00B566F9" w:rsidRDefault="00B91E9B" w:rsidP="00FC0C1D">
            <w:pPr>
              <w:rPr>
                <w:rFonts w:eastAsia="Calibri"/>
                <w:sz w:val="20"/>
                <w:szCs w:val="20"/>
              </w:rPr>
            </w:pPr>
            <w:r w:rsidRPr="00B566F9">
              <w:rPr>
                <w:rFonts w:eastAsia="Calibri"/>
                <w:sz w:val="20"/>
                <w:szCs w:val="20"/>
              </w:rPr>
              <w:t>Gender</w:t>
            </w:r>
          </w:p>
          <w:p w14:paraId="61CADB19"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Male</w:t>
            </w:r>
          </w:p>
          <w:p w14:paraId="3E444931"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Female</w:t>
            </w:r>
          </w:p>
        </w:tc>
        <w:tc>
          <w:tcPr>
            <w:tcW w:w="1317" w:type="dxa"/>
            <w:tcBorders>
              <w:top w:val="single" w:sz="4" w:space="0" w:color="auto"/>
            </w:tcBorders>
            <w:shd w:val="clear" w:color="auto" w:fill="auto"/>
          </w:tcPr>
          <w:p w14:paraId="5CB8A0FC" w14:textId="77777777" w:rsidR="00B91E9B" w:rsidRPr="00B566F9" w:rsidRDefault="00B91E9B" w:rsidP="00FC0C1D">
            <w:pPr>
              <w:rPr>
                <w:rFonts w:eastAsia="Calibri"/>
                <w:sz w:val="20"/>
                <w:szCs w:val="20"/>
              </w:rPr>
            </w:pPr>
          </w:p>
          <w:p w14:paraId="3204C8A0" w14:textId="77777777" w:rsidR="00B91E9B" w:rsidRPr="00B566F9" w:rsidRDefault="00B91E9B" w:rsidP="00FC0C1D">
            <w:pPr>
              <w:rPr>
                <w:rFonts w:eastAsia="Calibri"/>
                <w:sz w:val="20"/>
                <w:szCs w:val="20"/>
              </w:rPr>
            </w:pPr>
            <w:r w:rsidRPr="00B566F9">
              <w:rPr>
                <w:rFonts w:eastAsia="Calibri"/>
                <w:sz w:val="20"/>
                <w:szCs w:val="20"/>
              </w:rPr>
              <w:t>3</w:t>
            </w:r>
          </w:p>
          <w:p w14:paraId="7C917D3C" w14:textId="77777777" w:rsidR="00B91E9B" w:rsidRPr="00B566F9" w:rsidRDefault="00B91E9B" w:rsidP="00FC0C1D">
            <w:pPr>
              <w:rPr>
                <w:rFonts w:eastAsia="Calibri"/>
                <w:sz w:val="20"/>
                <w:szCs w:val="20"/>
              </w:rPr>
            </w:pPr>
            <w:r w:rsidRPr="00B566F9">
              <w:rPr>
                <w:rFonts w:eastAsia="Calibri"/>
                <w:sz w:val="20"/>
                <w:szCs w:val="20"/>
              </w:rPr>
              <w:t>13</w:t>
            </w:r>
          </w:p>
        </w:tc>
        <w:tc>
          <w:tcPr>
            <w:tcW w:w="654" w:type="dxa"/>
            <w:tcBorders>
              <w:top w:val="single" w:sz="4" w:space="0" w:color="auto"/>
            </w:tcBorders>
            <w:shd w:val="clear" w:color="auto" w:fill="auto"/>
          </w:tcPr>
          <w:p w14:paraId="747E6233" w14:textId="77777777" w:rsidR="00B91E9B" w:rsidRPr="00B566F9" w:rsidRDefault="00B91E9B" w:rsidP="00FC0C1D">
            <w:pPr>
              <w:rPr>
                <w:rFonts w:eastAsia="Calibri"/>
                <w:sz w:val="20"/>
                <w:szCs w:val="20"/>
              </w:rPr>
            </w:pPr>
          </w:p>
          <w:p w14:paraId="2F8A4506" w14:textId="2627FBB8" w:rsidR="00B91E9B" w:rsidRPr="00B566F9" w:rsidRDefault="00B91E9B" w:rsidP="00FC0C1D">
            <w:pPr>
              <w:rPr>
                <w:rFonts w:eastAsia="Calibri"/>
                <w:sz w:val="20"/>
                <w:szCs w:val="20"/>
              </w:rPr>
            </w:pPr>
            <w:r w:rsidRPr="00B566F9">
              <w:rPr>
                <w:rFonts w:eastAsia="Calibri"/>
                <w:sz w:val="20"/>
                <w:szCs w:val="20"/>
              </w:rPr>
              <w:t>25</w:t>
            </w:r>
            <w:r w:rsidR="00BF1D25">
              <w:rPr>
                <w:rFonts w:eastAsia="Calibri"/>
                <w:sz w:val="20"/>
                <w:szCs w:val="20"/>
              </w:rPr>
              <w:t>.</w:t>
            </w:r>
            <w:r w:rsidRPr="00B566F9">
              <w:rPr>
                <w:rFonts w:eastAsia="Calibri"/>
                <w:sz w:val="20"/>
                <w:szCs w:val="20"/>
              </w:rPr>
              <w:t>0</w:t>
            </w:r>
          </w:p>
          <w:p w14:paraId="6686D2D1" w14:textId="327854F6" w:rsidR="00B91E9B" w:rsidRPr="00B566F9" w:rsidRDefault="00B91E9B" w:rsidP="00FC0C1D">
            <w:pPr>
              <w:rPr>
                <w:rFonts w:eastAsia="Calibri"/>
                <w:sz w:val="20"/>
                <w:szCs w:val="20"/>
              </w:rPr>
            </w:pPr>
            <w:r w:rsidRPr="00B566F9">
              <w:rPr>
                <w:rFonts w:eastAsia="Calibri"/>
                <w:sz w:val="20"/>
                <w:szCs w:val="20"/>
              </w:rPr>
              <w:t>75</w:t>
            </w:r>
            <w:r w:rsidR="00BF1D25">
              <w:rPr>
                <w:rFonts w:eastAsia="Calibri"/>
                <w:sz w:val="20"/>
                <w:szCs w:val="20"/>
              </w:rPr>
              <w:t>.</w:t>
            </w:r>
            <w:r w:rsidRPr="00B566F9">
              <w:rPr>
                <w:rFonts w:eastAsia="Calibri"/>
                <w:sz w:val="20"/>
                <w:szCs w:val="20"/>
              </w:rPr>
              <w:t>0</w:t>
            </w:r>
          </w:p>
        </w:tc>
      </w:tr>
      <w:tr w:rsidR="00B91E9B" w:rsidRPr="0071427E" w14:paraId="74FB0FA4" w14:textId="77777777" w:rsidTr="00B566F9">
        <w:tc>
          <w:tcPr>
            <w:tcW w:w="2410" w:type="dxa"/>
            <w:shd w:val="clear" w:color="auto" w:fill="auto"/>
          </w:tcPr>
          <w:p w14:paraId="4054482D" w14:textId="77777777" w:rsidR="00B91E9B" w:rsidRPr="00B566F9" w:rsidRDefault="00B91E9B" w:rsidP="00FC0C1D">
            <w:pPr>
              <w:rPr>
                <w:rFonts w:eastAsia="Calibri"/>
                <w:sz w:val="20"/>
                <w:szCs w:val="20"/>
              </w:rPr>
            </w:pPr>
            <w:r w:rsidRPr="00B566F9">
              <w:rPr>
                <w:rFonts w:eastAsia="Calibri"/>
                <w:sz w:val="20"/>
                <w:szCs w:val="20"/>
              </w:rPr>
              <w:t>Age</w:t>
            </w:r>
          </w:p>
          <w:p w14:paraId="7C61BD90"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&lt;20</w:t>
            </w:r>
          </w:p>
          <w:p w14:paraId="4CB227A3"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20-29</w:t>
            </w:r>
          </w:p>
          <w:p w14:paraId="69A76876"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30-39</w:t>
            </w:r>
          </w:p>
          <w:p w14:paraId="565F654F"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40-49</w:t>
            </w:r>
          </w:p>
          <w:p w14:paraId="24BE7DDD"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50-59</w:t>
            </w:r>
          </w:p>
        </w:tc>
        <w:tc>
          <w:tcPr>
            <w:tcW w:w="1317" w:type="dxa"/>
            <w:shd w:val="clear" w:color="auto" w:fill="auto"/>
          </w:tcPr>
          <w:p w14:paraId="3AEF4BEC" w14:textId="77777777" w:rsidR="00B91E9B" w:rsidRPr="00B566F9" w:rsidRDefault="00B91E9B" w:rsidP="00FC0C1D">
            <w:pPr>
              <w:rPr>
                <w:rFonts w:eastAsia="Calibri"/>
                <w:sz w:val="20"/>
                <w:szCs w:val="20"/>
              </w:rPr>
            </w:pPr>
          </w:p>
          <w:p w14:paraId="09405EE6" w14:textId="77777777" w:rsidR="00B91E9B" w:rsidRPr="00B566F9" w:rsidRDefault="00B91E9B" w:rsidP="00FC0C1D">
            <w:pPr>
              <w:rPr>
                <w:rFonts w:eastAsia="Calibri"/>
                <w:sz w:val="20"/>
                <w:szCs w:val="20"/>
              </w:rPr>
            </w:pPr>
            <w:r w:rsidRPr="00B566F9">
              <w:rPr>
                <w:rFonts w:eastAsia="Calibri"/>
                <w:sz w:val="20"/>
                <w:szCs w:val="20"/>
              </w:rPr>
              <w:t>2</w:t>
            </w:r>
          </w:p>
          <w:p w14:paraId="05855FF2" w14:textId="77777777" w:rsidR="00B91E9B" w:rsidRPr="00B566F9" w:rsidRDefault="00B91E9B" w:rsidP="00FC0C1D">
            <w:pPr>
              <w:rPr>
                <w:rFonts w:eastAsia="Calibri"/>
                <w:sz w:val="20"/>
                <w:szCs w:val="20"/>
              </w:rPr>
            </w:pPr>
            <w:r w:rsidRPr="00B566F9">
              <w:rPr>
                <w:rFonts w:eastAsia="Calibri"/>
                <w:sz w:val="20"/>
                <w:szCs w:val="20"/>
              </w:rPr>
              <w:t>3</w:t>
            </w:r>
          </w:p>
          <w:p w14:paraId="68BE77D7" w14:textId="77777777" w:rsidR="00B91E9B" w:rsidRPr="00B566F9" w:rsidRDefault="00B91E9B" w:rsidP="00FC0C1D">
            <w:pPr>
              <w:rPr>
                <w:rFonts w:eastAsia="Calibri"/>
                <w:sz w:val="20"/>
                <w:szCs w:val="20"/>
              </w:rPr>
            </w:pPr>
            <w:r w:rsidRPr="00B566F9">
              <w:rPr>
                <w:rFonts w:eastAsia="Calibri"/>
                <w:sz w:val="20"/>
                <w:szCs w:val="20"/>
              </w:rPr>
              <w:t>2</w:t>
            </w:r>
          </w:p>
          <w:p w14:paraId="6E086465" w14:textId="77777777" w:rsidR="00B91E9B" w:rsidRPr="00B566F9" w:rsidRDefault="00B91E9B" w:rsidP="00FC0C1D">
            <w:pPr>
              <w:rPr>
                <w:rFonts w:eastAsia="Calibri"/>
                <w:sz w:val="20"/>
                <w:szCs w:val="20"/>
              </w:rPr>
            </w:pPr>
            <w:r w:rsidRPr="00B566F9">
              <w:rPr>
                <w:rFonts w:eastAsia="Calibri"/>
                <w:sz w:val="20"/>
                <w:szCs w:val="20"/>
              </w:rPr>
              <w:t>2</w:t>
            </w:r>
          </w:p>
          <w:p w14:paraId="5300691B" w14:textId="77777777" w:rsidR="00B91E9B" w:rsidRPr="00B566F9" w:rsidRDefault="00B91E9B" w:rsidP="00FC0C1D">
            <w:pPr>
              <w:rPr>
                <w:rFonts w:eastAsia="Calibri"/>
                <w:sz w:val="20"/>
                <w:szCs w:val="20"/>
              </w:rPr>
            </w:pPr>
            <w:r w:rsidRPr="00B566F9">
              <w:rPr>
                <w:rFonts w:eastAsia="Calibri"/>
                <w:sz w:val="20"/>
                <w:szCs w:val="20"/>
              </w:rPr>
              <w:t>3</w:t>
            </w:r>
          </w:p>
        </w:tc>
        <w:tc>
          <w:tcPr>
            <w:tcW w:w="654" w:type="dxa"/>
            <w:shd w:val="clear" w:color="auto" w:fill="auto"/>
          </w:tcPr>
          <w:p w14:paraId="51CD18BC" w14:textId="77777777" w:rsidR="00B91E9B" w:rsidRPr="00B566F9" w:rsidRDefault="00B91E9B" w:rsidP="00FC0C1D">
            <w:pPr>
              <w:rPr>
                <w:rFonts w:eastAsia="Calibri"/>
                <w:sz w:val="20"/>
                <w:szCs w:val="20"/>
              </w:rPr>
            </w:pPr>
          </w:p>
          <w:p w14:paraId="443ABBAA" w14:textId="7E67C1F5" w:rsidR="00B91E9B" w:rsidRPr="00B566F9" w:rsidRDefault="00B91E9B" w:rsidP="00FC0C1D">
            <w:pPr>
              <w:rPr>
                <w:rFonts w:eastAsia="Calibri"/>
                <w:sz w:val="20"/>
                <w:szCs w:val="20"/>
              </w:rPr>
            </w:pPr>
            <w:r w:rsidRPr="00B566F9">
              <w:rPr>
                <w:rFonts w:eastAsia="Calibri"/>
                <w:sz w:val="20"/>
                <w:szCs w:val="20"/>
              </w:rPr>
              <w:t>16</w:t>
            </w:r>
            <w:r w:rsidR="00BF1D25">
              <w:rPr>
                <w:rFonts w:eastAsia="Calibri"/>
                <w:sz w:val="20"/>
                <w:szCs w:val="20"/>
              </w:rPr>
              <w:t>.</w:t>
            </w:r>
            <w:r w:rsidRPr="00B566F9">
              <w:rPr>
                <w:rFonts w:eastAsia="Calibri"/>
                <w:sz w:val="20"/>
                <w:szCs w:val="20"/>
              </w:rPr>
              <w:t>7</w:t>
            </w:r>
          </w:p>
          <w:p w14:paraId="1C3E3AA8" w14:textId="3707F291" w:rsidR="00B91E9B" w:rsidRPr="00B566F9" w:rsidRDefault="00B91E9B" w:rsidP="00FC0C1D">
            <w:pPr>
              <w:rPr>
                <w:rFonts w:eastAsia="Calibri"/>
                <w:sz w:val="20"/>
                <w:szCs w:val="20"/>
              </w:rPr>
            </w:pPr>
            <w:r w:rsidRPr="00B566F9">
              <w:rPr>
                <w:rFonts w:eastAsia="Calibri"/>
                <w:sz w:val="20"/>
                <w:szCs w:val="20"/>
              </w:rPr>
              <w:t>25</w:t>
            </w:r>
            <w:r w:rsidR="00BF1D25">
              <w:rPr>
                <w:rFonts w:eastAsia="Calibri"/>
                <w:sz w:val="20"/>
                <w:szCs w:val="20"/>
              </w:rPr>
              <w:t>.</w:t>
            </w:r>
            <w:r w:rsidRPr="00B566F9">
              <w:rPr>
                <w:rFonts w:eastAsia="Calibri"/>
                <w:sz w:val="20"/>
                <w:szCs w:val="20"/>
              </w:rPr>
              <w:t>0</w:t>
            </w:r>
          </w:p>
          <w:p w14:paraId="1A5D06F7" w14:textId="3AB4926F" w:rsidR="00B91E9B" w:rsidRPr="00B566F9" w:rsidRDefault="00B91E9B" w:rsidP="00FC0C1D">
            <w:pPr>
              <w:rPr>
                <w:rFonts w:eastAsia="Calibri"/>
                <w:sz w:val="20"/>
                <w:szCs w:val="20"/>
              </w:rPr>
            </w:pPr>
            <w:r w:rsidRPr="00B566F9">
              <w:rPr>
                <w:rFonts w:eastAsia="Calibri"/>
                <w:sz w:val="20"/>
                <w:szCs w:val="20"/>
              </w:rPr>
              <w:t>16</w:t>
            </w:r>
            <w:r w:rsidR="00BF1D25">
              <w:rPr>
                <w:rFonts w:eastAsia="Calibri"/>
                <w:sz w:val="20"/>
                <w:szCs w:val="20"/>
              </w:rPr>
              <w:t>.</w:t>
            </w:r>
            <w:r w:rsidRPr="00B566F9">
              <w:rPr>
                <w:rFonts w:eastAsia="Calibri"/>
                <w:sz w:val="20"/>
                <w:szCs w:val="20"/>
              </w:rPr>
              <w:t>7</w:t>
            </w:r>
          </w:p>
          <w:p w14:paraId="7DE0F397" w14:textId="77777777" w:rsidR="00B91E9B" w:rsidRPr="00B566F9" w:rsidRDefault="00B91E9B" w:rsidP="00FC0C1D">
            <w:pPr>
              <w:rPr>
                <w:rFonts w:eastAsia="Calibri"/>
                <w:sz w:val="20"/>
                <w:szCs w:val="20"/>
              </w:rPr>
            </w:pPr>
            <w:r w:rsidRPr="00B566F9">
              <w:rPr>
                <w:rFonts w:eastAsia="Calibri"/>
                <w:sz w:val="20"/>
                <w:szCs w:val="20"/>
              </w:rPr>
              <w:t>16,7</w:t>
            </w:r>
          </w:p>
          <w:p w14:paraId="39EDDB19" w14:textId="2AEFC8DD" w:rsidR="00B91E9B" w:rsidRPr="00B566F9" w:rsidRDefault="00B91E9B" w:rsidP="00FC0C1D">
            <w:pPr>
              <w:rPr>
                <w:rFonts w:eastAsia="Calibri"/>
                <w:sz w:val="20"/>
                <w:szCs w:val="20"/>
              </w:rPr>
            </w:pPr>
            <w:r w:rsidRPr="00B566F9">
              <w:rPr>
                <w:rFonts w:eastAsia="Calibri"/>
                <w:sz w:val="20"/>
                <w:szCs w:val="20"/>
              </w:rPr>
              <w:t>25</w:t>
            </w:r>
            <w:r w:rsidR="00BF1D25">
              <w:rPr>
                <w:rFonts w:eastAsia="Calibri"/>
                <w:sz w:val="20"/>
                <w:szCs w:val="20"/>
              </w:rPr>
              <w:t>.</w:t>
            </w:r>
            <w:r w:rsidRPr="00B566F9">
              <w:rPr>
                <w:rFonts w:eastAsia="Calibri"/>
                <w:sz w:val="20"/>
                <w:szCs w:val="20"/>
              </w:rPr>
              <w:t>0</w:t>
            </w:r>
          </w:p>
        </w:tc>
      </w:tr>
      <w:tr w:rsidR="00B91E9B" w:rsidRPr="0071427E" w14:paraId="091E9EFA" w14:textId="77777777" w:rsidTr="00B566F9">
        <w:tc>
          <w:tcPr>
            <w:tcW w:w="2410" w:type="dxa"/>
            <w:shd w:val="clear" w:color="auto" w:fill="auto"/>
          </w:tcPr>
          <w:p w14:paraId="5E94044E" w14:textId="77777777" w:rsidR="00B91E9B" w:rsidRPr="00B566F9" w:rsidRDefault="00B91E9B" w:rsidP="00FC0C1D">
            <w:pPr>
              <w:rPr>
                <w:rFonts w:eastAsia="Calibri"/>
                <w:sz w:val="20"/>
                <w:szCs w:val="20"/>
              </w:rPr>
            </w:pPr>
            <w:r w:rsidRPr="00B566F9">
              <w:rPr>
                <w:rFonts w:eastAsia="Calibri"/>
                <w:sz w:val="20"/>
                <w:szCs w:val="20"/>
              </w:rPr>
              <w:t>Education Level</w:t>
            </w:r>
          </w:p>
          <w:p w14:paraId="6F761CBE"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Primary School</w:t>
            </w:r>
          </w:p>
          <w:p w14:paraId="2139A142"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Junior High School</w:t>
            </w:r>
          </w:p>
          <w:p w14:paraId="3AEC1ABF"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Senior High School</w:t>
            </w:r>
          </w:p>
          <w:p w14:paraId="0ECAECF4" w14:textId="6F7E4F35"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University</w:t>
            </w:r>
          </w:p>
        </w:tc>
        <w:tc>
          <w:tcPr>
            <w:tcW w:w="1317" w:type="dxa"/>
            <w:shd w:val="clear" w:color="auto" w:fill="auto"/>
          </w:tcPr>
          <w:p w14:paraId="19F0FEC5" w14:textId="77777777" w:rsidR="00B91E9B" w:rsidRPr="00B566F9" w:rsidRDefault="00B91E9B" w:rsidP="00FC0C1D">
            <w:pPr>
              <w:rPr>
                <w:rFonts w:eastAsia="Calibri"/>
                <w:sz w:val="20"/>
                <w:szCs w:val="20"/>
              </w:rPr>
            </w:pPr>
          </w:p>
          <w:p w14:paraId="4D6A92E6" w14:textId="3AE10637" w:rsidR="00B91E9B" w:rsidRPr="00B566F9" w:rsidRDefault="00B91E9B" w:rsidP="00FC0C1D">
            <w:pPr>
              <w:rPr>
                <w:rFonts w:eastAsia="Calibri"/>
                <w:sz w:val="20"/>
                <w:szCs w:val="20"/>
              </w:rPr>
            </w:pPr>
            <w:r w:rsidRPr="00B566F9">
              <w:rPr>
                <w:rFonts w:eastAsia="Calibri"/>
                <w:sz w:val="20"/>
                <w:szCs w:val="20"/>
              </w:rPr>
              <w:t>3</w:t>
            </w:r>
          </w:p>
          <w:p w14:paraId="65B8454B" w14:textId="77777777" w:rsidR="00B566F9" w:rsidRPr="00B566F9" w:rsidRDefault="00B566F9" w:rsidP="00FC0C1D">
            <w:pPr>
              <w:rPr>
                <w:rFonts w:eastAsia="Calibri"/>
                <w:sz w:val="20"/>
                <w:szCs w:val="20"/>
              </w:rPr>
            </w:pPr>
          </w:p>
          <w:p w14:paraId="0C925866" w14:textId="282DDBF2" w:rsidR="00B91E9B" w:rsidRPr="00B566F9" w:rsidRDefault="00B91E9B" w:rsidP="00FC0C1D">
            <w:pPr>
              <w:rPr>
                <w:rFonts w:eastAsia="Calibri"/>
                <w:sz w:val="20"/>
                <w:szCs w:val="20"/>
              </w:rPr>
            </w:pPr>
            <w:r w:rsidRPr="00B566F9">
              <w:rPr>
                <w:rFonts w:eastAsia="Calibri"/>
                <w:sz w:val="20"/>
                <w:szCs w:val="20"/>
              </w:rPr>
              <w:t>6</w:t>
            </w:r>
          </w:p>
          <w:p w14:paraId="025BA291" w14:textId="77777777" w:rsidR="00B566F9" w:rsidRPr="00B566F9" w:rsidRDefault="00B566F9" w:rsidP="00FC0C1D">
            <w:pPr>
              <w:rPr>
                <w:rFonts w:eastAsia="Calibri"/>
                <w:sz w:val="20"/>
                <w:szCs w:val="20"/>
              </w:rPr>
            </w:pPr>
          </w:p>
          <w:p w14:paraId="65560889" w14:textId="16527749" w:rsidR="00B91E9B" w:rsidRPr="00B566F9" w:rsidRDefault="00B91E9B" w:rsidP="00FC0C1D">
            <w:pPr>
              <w:rPr>
                <w:rFonts w:eastAsia="Calibri"/>
                <w:sz w:val="20"/>
                <w:szCs w:val="20"/>
              </w:rPr>
            </w:pPr>
            <w:r w:rsidRPr="00B566F9">
              <w:rPr>
                <w:rFonts w:eastAsia="Calibri"/>
                <w:sz w:val="20"/>
                <w:szCs w:val="20"/>
              </w:rPr>
              <w:t>6</w:t>
            </w:r>
          </w:p>
          <w:p w14:paraId="3092548D" w14:textId="77777777" w:rsidR="00B91E9B" w:rsidRPr="00B566F9" w:rsidRDefault="00B91E9B" w:rsidP="00FC0C1D">
            <w:pPr>
              <w:rPr>
                <w:rFonts w:eastAsia="Calibri"/>
                <w:sz w:val="20"/>
                <w:szCs w:val="20"/>
              </w:rPr>
            </w:pPr>
            <w:r w:rsidRPr="00B566F9">
              <w:rPr>
                <w:rFonts w:eastAsia="Calibri"/>
                <w:sz w:val="20"/>
                <w:szCs w:val="20"/>
              </w:rPr>
              <w:t>1</w:t>
            </w:r>
          </w:p>
        </w:tc>
        <w:tc>
          <w:tcPr>
            <w:tcW w:w="654" w:type="dxa"/>
            <w:shd w:val="clear" w:color="auto" w:fill="auto"/>
          </w:tcPr>
          <w:p w14:paraId="78C26476" w14:textId="77777777" w:rsidR="00B91E9B" w:rsidRPr="00B566F9" w:rsidRDefault="00B91E9B" w:rsidP="00FC0C1D">
            <w:pPr>
              <w:rPr>
                <w:rFonts w:eastAsia="Calibri"/>
                <w:sz w:val="20"/>
                <w:szCs w:val="20"/>
              </w:rPr>
            </w:pPr>
          </w:p>
          <w:p w14:paraId="5494E865" w14:textId="3E4DADAA" w:rsidR="00B91E9B" w:rsidRPr="00B566F9" w:rsidRDefault="00B91E9B" w:rsidP="00FC0C1D">
            <w:pPr>
              <w:rPr>
                <w:rFonts w:eastAsia="Calibri"/>
                <w:sz w:val="20"/>
                <w:szCs w:val="20"/>
              </w:rPr>
            </w:pPr>
            <w:r w:rsidRPr="00B566F9">
              <w:rPr>
                <w:rFonts w:eastAsia="Calibri"/>
                <w:sz w:val="20"/>
                <w:szCs w:val="20"/>
              </w:rPr>
              <w:t>19</w:t>
            </w:r>
            <w:r w:rsidR="00BF1D25">
              <w:rPr>
                <w:rFonts w:eastAsia="Calibri"/>
                <w:sz w:val="20"/>
                <w:szCs w:val="20"/>
              </w:rPr>
              <w:t>.0</w:t>
            </w:r>
          </w:p>
          <w:p w14:paraId="6CD08385" w14:textId="77777777" w:rsidR="00B566F9" w:rsidRPr="00B566F9" w:rsidRDefault="00B566F9" w:rsidP="00FC0C1D">
            <w:pPr>
              <w:rPr>
                <w:rFonts w:eastAsia="Calibri"/>
                <w:sz w:val="20"/>
                <w:szCs w:val="20"/>
              </w:rPr>
            </w:pPr>
          </w:p>
          <w:p w14:paraId="6FA44953" w14:textId="00093065" w:rsidR="00B91E9B" w:rsidRPr="00B566F9" w:rsidRDefault="00B91E9B" w:rsidP="00FC0C1D">
            <w:pPr>
              <w:rPr>
                <w:rFonts w:eastAsia="Calibri"/>
                <w:sz w:val="20"/>
                <w:szCs w:val="20"/>
              </w:rPr>
            </w:pPr>
            <w:r w:rsidRPr="00B566F9">
              <w:rPr>
                <w:rFonts w:eastAsia="Calibri"/>
                <w:sz w:val="20"/>
                <w:szCs w:val="20"/>
              </w:rPr>
              <w:t>38</w:t>
            </w:r>
            <w:r w:rsidR="00BF1D25">
              <w:rPr>
                <w:rFonts w:eastAsia="Calibri"/>
                <w:sz w:val="20"/>
                <w:szCs w:val="20"/>
              </w:rPr>
              <w:t>.0</w:t>
            </w:r>
          </w:p>
          <w:p w14:paraId="71F06C47" w14:textId="77777777" w:rsidR="00B566F9" w:rsidRPr="00B566F9" w:rsidRDefault="00B566F9" w:rsidP="00FC0C1D">
            <w:pPr>
              <w:rPr>
                <w:rFonts w:eastAsia="Calibri"/>
                <w:sz w:val="20"/>
                <w:szCs w:val="20"/>
              </w:rPr>
            </w:pPr>
          </w:p>
          <w:p w14:paraId="0C9DDECE" w14:textId="3566F3A0" w:rsidR="00B91E9B" w:rsidRPr="00B566F9" w:rsidRDefault="00B91E9B" w:rsidP="00FC0C1D">
            <w:pPr>
              <w:rPr>
                <w:rFonts w:eastAsia="Calibri"/>
                <w:sz w:val="20"/>
                <w:szCs w:val="20"/>
              </w:rPr>
            </w:pPr>
            <w:r w:rsidRPr="00B566F9">
              <w:rPr>
                <w:rFonts w:eastAsia="Calibri"/>
                <w:sz w:val="20"/>
                <w:szCs w:val="20"/>
              </w:rPr>
              <w:t>38</w:t>
            </w:r>
            <w:r w:rsidR="00BF1D25">
              <w:rPr>
                <w:rFonts w:eastAsia="Calibri"/>
                <w:sz w:val="20"/>
                <w:szCs w:val="20"/>
              </w:rPr>
              <w:t>.0</w:t>
            </w:r>
          </w:p>
          <w:p w14:paraId="1F793CCF" w14:textId="6E10CC30" w:rsidR="00B566F9" w:rsidRPr="00B566F9" w:rsidRDefault="00B91E9B" w:rsidP="00FC0C1D">
            <w:pPr>
              <w:rPr>
                <w:rFonts w:eastAsia="Calibri"/>
                <w:sz w:val="20"/>
                <w:szCs w:val="20"/>
              </w:rPr>
            </w:pPr>
            <w:r w:rsidRPr="00B566F9">
              <w:rPr>
                <w:rFonts w:eastAsia="Calibri"/>
                <w:sz w:val="20"/>
                <w:szCs w:val="20"/>
              </w:rPr>
              <w:t>6</w:t>
            </w:r>
            <w:r w:rsidR="00BF1D25">
              <w:rPr>
                <w:rFonts w:eastAsia="Calibri"/>
                <w:sz w:val="20"/>
                <w:szCs w:val="20"/>
              </w:rPr>
              <w:t>.0</w:t>
            </w:r>
          </w:p>
        </w:tc>
      </w:tr>
      <w:tr w:rsidR="00B91E9B" w:rsidRPr="0071427E" w14:paraId="433CB5B1" w14:textId="77777777" w:rsidTr="00B566F9">
        <w:tc>
          <w:tcPr>
            <w:tcW w:w="2410" w:type="dxa"/>
            <w:shd w:val="clear" w:color="auto" w:fill="auto"/>
          </w:tcPr>
          <w:p w14:paraId="76C5A520" w14:textId="77777777" w:rsidR="00B91E9B" w:rsidRPr="00B566F9" w:rsidRDefault="00B91E9B" w:rsidP="00FC0C1D">
            <w:pPr>
              <w:rPr>
                <w:rFonts w:eastAsia="Calibri"/>
                <w:sz w:val="20"/>
                <w:szCs w:val="20"/>
              </w:rPr>
            </w:pPr>
            <w:r w:rsidRPr="00B566F9">
              <w:rPr>
                <w:rFonts w:eastAsia="Calibri"/>
                <w:sz w:val="20"/>
                <w:szCs w:val="20"/>
              </w:rPr>
              <w:t>Marriage Statue</w:t>
            </w:r>
          </w:p>
          <w:p w14:paraId="175CA155"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Unmarried</w:t>
            </w:r>
          </w:p>
          <w:p w14:paraId="57A5F226"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Married</w:t>
            </w:r>
          </w:p>
        </w:tc>
        <w:tc>
          <w:tcPr>
            <w:tcW w:w="1317" w:type="dxa"/>
            <w:shd w:val="clear" w:color="auto" w:fill="auto"/>
          </w:tcPr>
          <w:p w14:paraId="14478575" w14:textId="77777777" w:rsidR="00B91E9B" w:rsidRPr="00B566F9" w:rsidRDefault="00B91E9B" w:rsidP="00FC0C1D">
            <w:pPr>
              <w:rPr>
                <w:rFonts w:eastAsia="Calibri"/>
                <w:sz w:val="20"/>
                <w:szCs w:val="20"/>
              </w:rPr>
            </w:pPr>
          </w:p>
          <w:p w14:paraId="16D79154" w14:textId="77777777" w:rsidR="00B91E9B" w:rsidRPr="00B566F9" w:rsidRDefault="00B91E9B" w:rsidP="00FC0C1D">
            <w:pPr>
              <w:rPr>
                <w:rFonts w:eastAsia="Calibri"/>
                <w:sz w:val="20"/>
                <w:szCs w:val="20"/>
              </w:rPr>
            </w:pPr>
            <w:r w:rsidRPr="00B566F9">
              <w:rPr>
                <w:rFonts w:eastAsia="Calibri"/>
                <w:sz w:val="20"/>
                <w:szCs w:val="20"/>
              </w:rPr>
              <w:t>5</w:t>
            </w:r>
          </w:p>
          <w:p w14:paraId="66EF035A" w14:textId="77777777" w:rsidR="00B91E9B" w:rsidRPr="00B566F9" w:rsidRDefault="00B91E9B" w:rsidP="00FC0C1D">
            <w:pPr>
              <w:rPr>
                <w:rFonts w:eastAsia="Calibri"/>
                <w:sz w:val="20"/>
                <w:szCs w:val="20"/>
              </w:rPr>
            </w:pPr>
            <w:r w:rsidRPr="00B566F9">
              <w:rPr>
                <w:rFonts w:eastAsia="Calibri"/>
                <w:sz w:val="20"/>
                <w:szCs w:val="20"/>
              </w:rPr>
              <w:t>11</w:t>
            </w:r>
          </w:p>
        </w:tc>
        <w:tc>
          <w:tcPr>
            <w:tcW w:w="654" w:type="dxa"/>
            <w:shd w:val="clear" w:color="auto" w:fill="auto"/>
          </w:tcPr>
          <w:p w14:paraId="7A608A9A" w14:textId="77777777" w:rsidR="00B91E9B" w:rsidRPr="00B566F9" w:rsidRDefault="00B91E9B" w:rsidP="00FC0C1D">
            <w:pPr>
              <w:rPr>
                <w:rFonts w:eastAsia="Calibri"/>
                <w:sz w:val="20"/>
                <w:szCs w:val="20"/>
              </w:rPr>
            </w:pPr>
          </w:p>
          <w:p w14:paraId="64B24043" w14:textId="13316FCF" w:rsidR="00B91E9B" w:rsidRPr="00B566F9" w:rsidRDefault="00B91E9B" w:rsidP="00FC0C1D">
            <w:pPr>
              <w:rPr>
                <w:rFonts w:eastAsia="Calibri"/>
                <w:sz w:val="20"/>
                <w:szCs w:val="20"/>
              </w:rPr>
            </w:pPr>
            <w:r w:rsidRPr="00B566F9">
              <w:rPr>
                <w:rFonts w:eastAsia="Calibri"/>
                <w:sz w:val="20"/>
                <w:szCs w:val="20"/>
              </w:rPr>
              <w:t>31</w:t>
            </w:r>
            <w:r w:rsidR="00BF1D25">
              <w:rPr>
                <w:rFonts w:eastAsia="Calibri"/>
                <w:sz w:val="20"/>
                <w:szCs w:val="20"/>
              </w:rPr>
              <w:t>.0</w:t>
            </w:r>
          </w:p>
          <w:p w14:paraId="2558302B" w14:textId="5B7D221A" w:rsidR="00B91E9B" w:rsidRPr="00B566F9" w:rsidRDefault="00B91E9B" w:rsidP="00FC0C1D">
            <w:pPr>
              <w:rPr>
                <w:rFonts w:eastAsia="Calibri"/>
                <w:sz w:val="20"/>
                <w:szCs w:val="20"/>
              </w:rPr>
            </w:pPr>
            <w:r w:rsidRPr="00B566F9">
              <w:rPr>
                <w:rFonts w:eastAsia="Calibri"/>
                <w:sz w:val="20"/>
                <w:szCs w:val="20"/>
              </w:rPr>
              <w:t>69</w:t>
            </w:r>
            <w:r w:rsidR="00BF1D25">
              <w:rPr>
                <w:rFonts w:eastAsia="Calibri"/>
                <w:sz w:val="20"/>
                <w:szCs w:val="20"/>
              </w:rPr>
              <w:t>.0</w:t>
            </w:r>
          </w:p>
        </w:tc>
      </w:tr>
      <w:tr w:rsidR="00B91E9B" w:rsidRPr="0071427E" w14:paraId="6F302AEA" w14:textId="77777777" w:rsidTr="00B566F9">
        <w:tc>
          <w:tcPr>
            <w:tcW w:w="2410" w:type="dxa"/>
            <w:shd w:val="clear" w:color="auto" w:fill="auto"/>
          </w:tcPr>
          <w:p w14:paraId="0B131980" w14:textId="77777777" w:rsidR="00B91E9B" w:rsidRPr="00B566F9" w:rsidRDefault="00B91E9B" w:rsidP="00FC0C1D">
            <w:pPr>
              <w:rPr>
                <w:rFonts w:eastAsia="Calibri"/>
                <w:sz w:val="20"/>
                <w:szCs w:val="20"/>
              </w:rPr>
            </w:pPr>
            <w:r w:rsidRPr="00B566F9">
              <w:rPr>
                <w:rFonts w:eastAsia="Calibri"/>
                <w:sz w:val="20"/>
                <w:szCs w:val="20"/>
              </w:rPr>
              <w:t>Occupational statue</w:t>
            </w:r>
          </w:p>
          <w:p w14:paraId="76C600F0"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Unemployment</w:t>
            </w:r>
          </w:p>
          <w:p w14:paraId="251EF54B"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Employment</w:t>
            </w:r>
          </w:p>
        </w:tc>
        <w:tc>
          <w:tcPr>
            <w:tcW w:w="1317" w:type="dxa"/>
            <w:shd w:val="clear" w:color="auto" w:fill="auto"/>
          </w:tcPr>
          <w:p w14:paraId="2FB50CB3" w14:textId="77777777" w:rsidR="00B91E9B" w:rsidRPr="00B566F9" w:rsidRDefault="00B91E9B" w:rsidP="00FC0C1D">
            <w:pPr>
              <w:rPr>
                <w:rFonts w:eastAsia="Calibri"/>
                <w:sz w:val="20"/>
                <w:szCs w:val="20"/>
              </w:rPr>
            </w:pPr>
          </w:p>
          <w:p w14:paraId="4FB4E952" w14:textId="77777777" w:rsidR="00B91E9B" w:rsidRPr="00B566F9" w:rsidRDefault="00B91E9B" w:rsidP="00FC0C1D">
            <w:pPr>
              <w:rPr>
                <w:rFonts w:eastAsia="Calibri"/>
                <w:sz w:val="20"/>
                <w:szCs w:val="20"/>
              </w:rPr>
            </w:pPr>
            <w:r w:rsidRPr="00B566F9">
              <w:rPr>
                <w:rFonts w:eastAsia="Calibri"/>
                <w:sz w:val="20"/>
                <w:szCs w:val="20"/>
              </w:rPr>
              <w:t>9</w:t>
            </w:r>
          </w:p>
          <w:p w14:paraId="6A67D4C4" w14:textId="77777777" w:rsidR="00B91E9B" w:rsidRPr="00B566F9" w:rsidRDefault="00B91E9B" w:rsidP="00FC0C1D">
            <w:pPr>
              <w:rPr>
                <w:rFonts w:eastAsia="Calibri"/>
                <w:sz w:val="20"/>
                <w:szCs w:val="20"/>
              </w:rPr>
            </w:pPr>
            <w:r w:rsidRPr="00B566F9">
              <w:rPr>
                <w:rFonts w:eastAsia="Calibri"/>
                <w:sz w:val="20"/>
                <w:szCs w:val="20"/>
              </w:rPr>
              <w:t>7</w:t>
            </w:r>
          </w:p>
        </w:tc>
        <w:tc>
          <w:tcPr>
            <w:tcW w:w="654" w:type="dxa"/>
            <w:shd w:val="clear" w:color="auto" w:fill="auto"/>
          </w:tcPr>
          <w:p w14:paraId="2C5A4536" w14:textId="77777777" w:rsidR="00B91E9B" w:rsidRPr="00B566F9" w:rsidRDefault="00B91E9B" w:rsidP="00FC0C1D">
            <w:pPr>
              <w:rPr>
                <w:rFonts w:eastAsia="Calibri"/>
                <w:sz w:val="20"/>
                <w:szCs w:val="20"/>
              </w:rPr>
            </w:pPr>
          </w:p>
          <w:p w14:paraId="1E1DF293" w14:textId="031D08F8" w:rsidR="00B91E9B" w:rsidRPr="00B566F9" w:rsidRDefault="00B91E9B" w:rsidP="00FC0C1D">
            <w:pPr>
              <w:rPr>
                <w:rFonts w:eastAsia="Calibri"/>
                <w:sz w:val="20"/>
                <w:szCs w:val="20"/>
              </w:rPr>
            </w:pPr>
            <w:r w:rsidRPr="00B566F9">
              <w:rPr>
                <w:rFonts w:eastAsia="Calibri"/>
                <w:sz w:val="20"/>
                <w:szCs w:val="20"/>
              </w:rPr>
              <w:t>56</w:t>
            </w:r>
            <w:r w:rsidR="00BF1D25">
              <w:rPr>
                <w:rFonts w:eastAsia="Calibri"/>
                <w:sz w:val="20"/>
                <w:szCs w:val="20"/>
              </w:rPr>
              <w:t>.</w:t>
            </w:r>
            <w:r w:rsidR="00B566F9">
              <w:rPr>
                <w:rFonts w:eastAsia="Calibri"/>
                <w:sz w:val="20"/>
                <w:szCs w:val="20"/>
              </w:rPr>
              <w:t>3</w:t>
            </w:r>
          </w:p>
          <w:p w14:paraId="7DEFAF97" w14:textId="3CBE3855" w:rsidR="00B91E9B" w:rsidRPr="00B566F9" w:rsidRDefault="00B91E9B" w:rsidP="00FC0C1D">
            <w:pPr>
              <w:rPr>
                <w:rFonts w:eastAsia="Calibri"/>
                <w:sz w:val="20"/>
                <w:szCs w:val="20"/>
              </w:rPr>
            </w:pPr>
            <w:r w:rsidRPr="00B566F9">
              <w:rPr>
                <w:rFonts w:eastAsia="Calibri"/>
                <w:sz w:val="20"/>
                <w:szCs w:val="20"/>
              </w:rPr>
              <w:t>43</w:t>
            </w:r>
            <w:r w:rsidR="00BF1D25">
              <w:rPr>
                <w:rFonts w:eastAsia="Calibri"/>
                <w:sz w:val="20"/>
                <w:szCs w:val="20"/>
              </w:rPr>
              <w:t>.</w:t>
            </w:r>
            <w:r w:rsidRPr="00B566F9">
              <w:rPr>
                <w:rFonts w:eastAsia="Calibri"/>
                <w:sz w:val="20"/>
                <w:szCs w:val="20"/>
              </w:rPr>
              <w:t>7</w:t>
            </w:r>
          </w:p>
        </w:tc>
      </w:tr>
      <w:tr w:rsidR="00B91E9B" w:rsidRPr="0071427E" w14:paraId="6BC779B7" w14:textId="77777777" w:rsidTr="00B566F9">
        <w:tc>
          <w:tcPr>
            <w:tcW w:w="2410" w:type="dxa"/>
            <w:shd w:val="clear" w:color="auto" w:fill="auto"/>
          </w:tcPr>
          <w:p w14:paraId="25EB44FA" w14:textId="736BCA56" w:rsidR="00B91E9B" w:rsidRPr="00B566F9" w:rsidRDefault="00B91E9B" w:rsidP="00FC0C1D">
            <w:pPr>
              <w:rPr>
                <w:rFonts w:eastAsia="Calibri"/>
                <w:sz w:val="20"/>
                <w:szCs w:val="20"/>
              </w:rPr>
            </w:pPr>
            <w:r w:rsidRPr="00B566F9">
              <w:rPr>
                <w:rFonts w:eastAsia="Calibri"/>
                <w:sz w:val="20"/>
                <w:szCs w:val="20"/>
              </w:rPr>
              <w:t>CBO type</w:t>
            </w:r>
            <w:r w:rsidR="002A1C4A">
              <w:rPr>
                <w:rFonts w:eastAsia="Calibri"/>
                <w:sz w:val="20"/>
                <w:szCs w:val="20"/>
              </w:rPr>
              <w:t xml:space="preserve"> involved</w:t>
            </w:r>
          </w:p>
          <w:p w14:paraId="4DC1E8EF" w14:textId="5B7D2BF0"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 xml:space="preserve"> Health Community Pos</w:t>
            </w:r>
            <w:r w:rsidR="0049122C">
              <w:rPr>
                <w:sz w:val="20"/>
                <w:szCs w:val="20"/>
              </w:rPr>
              <w:t>t</w:t>
            </w:r>
          </w:p>
          <w:p w14:paraId="231208EB" w14:textId="7437C160"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 xml:space="preserve">Youth group </w:t>
            </w:r>
          </w:p>
        </w:tc>
        <w:tc>
          <w:tcPr>
            <w:tcW w:w="1317" w:type="dxa"/>
            <w:shd w:val="clear" w:color="auto" w:fill="auto"/>
          </w:tcPr>
          <w:p w14:paraId="05ECEF06" w14:textId="77777777" w:rsidR="00B91E9B" w:rsidRPr="00B566F9" w:rsidRDefault="00B91E9B" w:rsidP="00FC0C1D">
            <w:pPr>
              <w:rPr>
                <w:rFonts w:eastAsia="Calibri"/>
                <w:sz w:val="20"/>
                <w:szCs w:val="20"/>
              </w:rPr>
            </w:pPr>
          </w:p>
          <w:p w14:paraId="6D9A6FE0" w14:textId="1A027FB5" w:rsidR="00B91E9B" w:rsidRDefault="00B91E9B" w:rsidP="00FC0C1D">
            <w:pPr>
              <w:rPr>
                <w:rFonts w:eastAsia="Calibri"/>
                <w:sz w:val="20"/>
                <w:szCs w:val="20"/>
              </w:rPr>
            </w:pPr>
            <w:r w:rsidRPr="00B566F9">
              <w:rPr>
                <w:rFonts w:eastAsia="Calibri"/>
                <w:sz w:val="20"/>
                <w:szCs w:val="20"/>
              </w:rPr>
              <w:t>10</w:t>
            </w:r>
          </w:p>
          <w:p w14:paraId="6CE9F1BB" w14:textId="77777777" w:rsidR="00B566F9" w:rsidRPr="00B566F9" w:rsidRDefault="00B566F9" w:rsidP="00FC0C1D">
            <w:pPr>
              <w:rPr>
                <w:rFonts w:eastAsia="Calibri"/>
                <w:sz w:val="20"/>
                <w:szCs w:val="20"/>
              </w:rPr>
            </w:pPr>
          </w:p>
          <w:p w14:paraId="58C2D524" w14:textId="77777777" w:rsidR="00B91E9B" w:rsidRPr="00B566F9" w:rsidRDefault="00B91E9B" w:rsidP="00FC0C1D">
            <w:pPr>
              <w:rPr>
                <w:rFonts w:eastAsia="Calibri"/>
                <w:sz w:val="20"/>
                <w:szCs w:val="20"/>
              </w:rPr>
            </w:pPr>
            <w:r w:rsidRPr="00B566F9">
              <w:rPr>
                <w:rFonts w:eastAsia="Calibri"/>
                <w:sz w:val="20"/>
                <w:szCs w:val="20"/>
              </w:rPr>
              <w:t>6</w:t>
            </w:r>
          </w:p>
        </w:tc>
        <w:tc>
          <w:tcPr>
            <w:tcW w:w="654" w:type="dxa"/>
            <w:shd w:val="clear" w:color="auto" w:fill="auto"/>
          </w:tcPr>
          <w:p w14:paraId="4577AE27" w14:textId="77777777" w:rsidR="00B91E9B" w:rsidRPr="00B566F9" w:rsidRDefault="00B91E9B" w:rsidP="00FC0C1D">
            <w:pPr>
              <w:rPr>
                <w:rFonts w:eastAsia="Calibri"/>
                <w:sz w:val="20"/>
                <w:szCs w:val="20"/>
              </w:rPr>
            </w:pPr>
          </w:p>
          <w:p w14:paraId="1B60F379" w14:textId="292FD595" w:rsidR="00B91E9B" w:rsidRDefault="00B91E9B" w:rsidP="00FC0C1D">
            <w:pPr>
              <w:rPr>
                <w:rFonts w:eastAsia="Calibri"/>
                <w:sz w:val="20"/>
                <w:szCs w:val="20"/>
              </w:rPr>
            </w:pPr>
            <w:r w:rsidRPr="00B566F9">
              <w:rPr>
                <w:rFonts w:eastAsia="Calibri"/>
                <w:sz w:val="20"/>
                <w:szCs w:val="20"/>
              </w:rPr>
              <w:t>62</w:t>
            </w:r>
            <w:r w:rsidR="00BF1D25">
              <w:rPr>
                <w:rFonts w:eastAsia="Calibri"/>
                <w:sz w:val="20"/>
                <w:szCs w:val="20"/>
              </w:rPr>
              <w:t>.</w:t>
            </w:r>
            <w:r w:rsidRPr="00B566F9">
              <w:rPr>
                <w:rFonts w:eastAsia="Calibri"/>
                <w:sz w:val="20"/>
                <w:szCs w:val="20"/>
              </w:rPr>
              <w:t>5</w:t>
            </w:r>
          </w:p>
          <w:p w14:paraId="18D49EE9" w14:textId="77777777" w:rsidR="00B566F9" w:rsidRPr="00B566F9" w:rsidRDefault="00B566F9" w:rsidP="00FC0C1D">
            <w:pPr>
              <w:rPr>
                <w:rFonts w:eastAsia="Calibri"/>
                <w:sz w:val="20"/>
                <w:szCs w:val="20"/>
              </w:rPr>
            </w:pPr>
          </w:p>
          <w:p w14:paraId="7169329C" w14:textId="3EB65173" w:rsidR="00B91E9B" w:rsidRPr="00B566F9" w:rsidRDefault="00B91E9B" w:rsidP="00FC0C1D">
            <w:pPr>
              <w:rPr>
                <w:rFonts w:eastAsia="Calibri"/>
                <w:sz w:val="20"/>
                <w:szCs w:val="20"/>
              </w:rPr>
            </w:pPr>
            <w:r w:rsidRPr="00B566F9">
              <w:rPr>
                <w:rFonts w:eastAsia="Calibri"/>
                <w:sz w:val="20"/>
                <w:szCs w:val="20"/>
              </w:rPr>
              <w:t>37</w:t>
            </w:r>
            <w:r w:rsidR="00BF1D25">
              <w:rPr>
                <w:rFonts w:eastAsia="Calibri"/>
                <w:sz w:val="20"/>
                <w:szCs w:val="20"/>
              </w:rPr>
              <w:t>.</w:t>
            </w:r>
            <w:r w:rsidRPr="00B566F9">
              <w:rPr>
                <w:rFonts w:eastAsia="Calibri"/>
                <w:sz w:val="20"/>
                <w:szCs w:val="20"/>
              </w:rPr>
              <w:t>5</w:t>
            </w:r>
          </w:p>
        </w:tc>
      </w:tr>
      <w:tr w:rsidR="00B91E9B" w:rsidRPr="0071427E" w14:paraId="3B0094D6" w14:textId="77777777" w:rsidTr="00B566F9">
        <w:tc>
          <w:tcPr>
            <w:tcW w:w="2410" w:type="dxa"/>
            <w:shd w:val="clear" w:color="auto" w:fill="auto"/>
          </w:tcPr>
          <w:p w14:paraId="5E9542D0" w14:textId="77777777" w:rsidR="00B91E9B" w:rsidRPr="00B566F9" w:rsidRDefault="00B91E9B" w:rsidP="00FC0C1D">
            <w:pPr>
              <w:rPr>
                <w:rFonts w:eastAsia="Calibri"/>
                <w:sz w:val="20"/>
                <w:szCs w:val="20"/>
              </w:rPr>
            </w:pPr>
            <w:r w:rsidRPr="00B566F9">
              <w:rPr>
                <w:rFonts w:eastAsia="Calibri"/>
                <w:sz w:val="20"/>
                <w:szCs w:val="20"/>
              </w:rPr>
              <w:t>Length of experience working in CBO</w:t>
            </w:r>
          </w:p>
          <w:p w14:paraId="1F30FD9B"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&lt; 2 years</w:t>
            </w:r>
          </w:p>
          <w:p w14:paraId="357DE732"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 2 years</w:t>
            </w:r>
          </w:p>
        </w:tc>
        <w:tc>
          <w:tcPr>
            <w:tcW w:w="1317" w:type="dxa"/>
            <w:shd w:val="clear" w:color="auto" w:fill="auto"/>
          </w:tcPr>
          <w:p w14:paraId="3A1B325F" w14:textId="2FE11654" w:rsidR="00B91E9B" w:rsidRDefault="00B91E9B" w:rsidP="00FC0C1D">
            <w:pPr>
              <w:rPr>
                <w:rFonts w:eastAsia="Calibri"/>
                <w:sz w:val="20"/>
                <w:szCs w:val="20"/>
              </w:rPr>
            </w:pPr>
          </w:p>
          <w:p w14:paraId="69226B81" w14:textId="77777777" w:rsidR="00B566F9" w:rsidRPr="00B566F9" w:rsidRDefault="00B566F9" w:rsidP="00FC0C1D">
            <w:pPr>
              <w:rPr>
                <w:rFonts w:eastAsia="Calibri"/>
                <w:sz w:val="20"/>
                <w:szCs w:val="20"/>
              </w:rPr>
            </w:pPr>
          </w:p>
          <w:p w14:paraId="40682BBF" w14:textId="77777777" w:rsidR="00B91E9B" w:rsidRPr="00B566F9" w:rsidRDefault="00B91E9B" w:rsidP="00FC0C1D">
            <w:pPr>
              <w:rPr>
                <w:rFonts w:eastAsia="Calibri"/>
                <w:sz w:val="20"/>
                <w:szCs w:val="20"/>
              </w:rPr>
            </w:pPr>
            <w:r w:rsidRPr="00B566F9">
              <w:rPr>
                <w:rFonts w:eastAsia="Calibri"/>
                <w:sz w:val="20"/>
                <w:szCs w:val="20"/>
              </w:rPr>
              <w:t>8</w:t>
            </w:r>
          </w:p>
          <w:p w14:paraId="776311EE" w14:textId="77777777" w:rsidR="00B91E9B" w:rsidRPr="00B566F9" w:rsidRDefault="00B91E9B" w:rsidP="00FC0C1D">
            <w:pPr>
              <w:rPr>
                <w:rFonts w:eastAsia="Calibri"/>
                <w:sz w:val="20"/>
                <w:szCs w:val="20"/>
              </w:rPr>
            </w:pPr>
            <w:r w:rsidRPr="00B566F9">
              <w:rPr>
                <w:rFonts w:eastAsia="Calibri"/>
                <w:sz w:val="20"/>
                <w:szCs w:val="20"/>
              </w:rPr>
              <w:t>8</w:t>
            </w:r>
          </w:p>
        </w:tc>
        <w:tc>
          <w:tcPr>
            <w:tcW w:w="654" w:type="dxa"/>
            <w:shd w:val="clear" w:color="auto" w:fill="auto"/>
          </w:tcPr>
          <w:p w14:paraId="2EB3C59B" w14:textId="68832FA5" w:rsidR="00B91E9B" w:rsidRDefault="00B91E9B" w:rsidP="00FC0C1D">
            <w:pPr>
              <w:rPr>
                <w:rFonts w:eastAsia="Calibri"/>
                <w:sz w:val="20"/>
                <w:szCs w:val="20"/>
              </w:rPr>
            </w:pPr>
          </w:p>
          <w:p w14:paraId="0BC7A97B" w14:textId="77777777" w:rsidR="00B566F9" w:rsidRPr="00B566F9" w:rsidRDefault="00B566F9" w:rsidP="00FC0C1D">
            <w:pPr>
              <w:rPr>
                <w:rFonts w:eastAsia="Calibri"/>
                <w:sz w:val="20"/>
                <w:szCs w:val="20"/>
              </w:rPr>
            </w:pPr>
          </w:p>
          <w:p w14:paraId="41B0A5BF" w14:textId="33E604C4" w:rsidR="00B91E9B" w:rsidRPr="00B566F9" w:rsidRDefault="00B91E9B" w:rsidP="00FC0C1D">
            <w:pPr>
              <w:rPr>
                <w:rFonts w:eastAsia="Calibri"/>
                <w:sz w:val="20"/>
                <w:szCs w:val="20"/>
              </w:rPr>
            </w:pPr>
            <w:r w:rsidRPr="00B566F9">
              <w:rPr>
                <w:rFonts w:eastAsia="Calibri"/>
                <w:sz w:val="20"/>
                <w:szCs w:val="20"/>
              </w:rPr>
              <w:t>50</w:t>
            </w:r>
            <w:r w:rsidR="00BF1D25">
              <w:rPr>
                <w:rFonts w:eastAsia="Calibri"/>
                <w:sz w:val="20"/>
                <w:szCs w:val="20"/>
              </w:rPr>
              <w:t>.0</w:t>
            </w:r>
          </w:p>
          <w:p w14:paraId="30D37371" w14:textId="4B204864" w:rsidR="00B91E9B" w:rsidRPr="00B566F9" w:rsidRDefault="00B91E9B" w:rsidP="00FC0C1D">
            <w:pPr>
              <w:rPr>
                <w:rFonts w:eastAsia="Calibri"/>
                <w:sz w:val="20"/>
                <w:szCs w:val="20"/>
              </w:rPr>
            </w:pPr>
            <w:r w:rsidRPr="00B566F9">
              <w:rPr>
                <w:rFonts w:eastAsia="Calibri"/>
                <w:sz w:val="20"/>
                <w:szCs w:val="20"/>
              </w:rPr>
              <w:t>50</w:t>
            </w:r>
            <w:r w:rsidR="00BF1D25">
              <w:rPr>
                <w:rFonts w:eastAsia="Calibri"/>
                <w:sz w:val="20"/>
                <w:szCs w:val="20"/>
              </w:rPr>
              <w:t>.0</w:t>
            </w:r>
          </w:p>
        </w:tc>
      </w:tr>
      <w:tr w:rsidR="00B91E9B" w:rsidRPr="0071427E" w14:paraId="1F10ADC3" w14:textId="77777777" w:rsidTr="00B566F9">
        <w:tc>
          <w:tcPr>
            <w:tcW w:w="2410" w:type="dxa"/>
            <w:shd w:val="clear" w:color="auto" w:fill="auto"/>
          </w:tcPr>
          <w:p w14:paraId="205AA6F7" w14:textId="0E96258E" w:rsidR="00B91E9B" w:rsidRPr="00B566F9" w:rsidRDefault="00B91E9B" w:rsidP="00FC0C1D">
            <w:pPr>
              <w:rPr>
                <w:rFonts w:eastAsia="Calibri"/>
                <w:sz w:val="20"/>
                <w:szCs w:val="20"/>
              </w:rPr>
            </w:pPr>
            <w:r w:rsidRPr="00B566F9">
              <w:rPr>
                <w:rFonts w:eastAsia="Calibri"/>
                <w:sz w:val="20"/>
                <w:szCs w:val="20"/>
              </w:rPr>
              <w:t xml:space="preserve">Motivation </w:t>
            </w:r>
            <w:r w:rsidR="0049122C" w:rsidRPr="00B566F9">
              <w:rPr>
                <w:rFonts w:eastAsia="Calibri"/>
                <w:sz w:val="20"/>
                <w:szCs w:val="20"/>
              </w:rPr>
              <w:t>to actively</w:t>
            </w:r>
            <w:r w:rsidRPr="00B566F9">
              <w:rPr>
                <w:rFonts w:eastAsia="Calibri"/>
                <w:sz w:val="20"/>
                <w:szCs w:val="20"/>
              </w:rPr>
              <w:t xml:space="preserve"> involved in </w:t>
            </w:r>
            <w:proofErr w:type="gramStart"/>
            <w:r w:rsidRPr="00B566F9">
              <w:rPr>
                <w:rFonts w:eastAsia="Calibri"/>
                <w:sz w:val="20"/>
                <w:szCs w:val="20"/>
              </w:rPr>
              <w:t>community based</w:t>
            </w:r>
            <w:proofErr w:type="gramEnd"/>
            <w:r w:rsidRPr="00B566F9">
              <w:rPr>
                <w:rFonts w:eastAsia="Calibri"/>
                <w:sz w:val="20"/>
                <w:szCs w:val="20"/>
              </w:rPr>
              <w:t xml:space="preserve"> organization:</w:t>
            </w:r>
          </w:p>
          <w:p w14:paraId="50C427AC"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Self-willed because he/she likes to organize</w:t>
            </w:r>
          </w:p>
          <w:p w14:paraId="1032D870" w14:textId="77777777" w:rsidR="00B91E9B" w:rsidRPr="00B566F9" w:rsidRDefault="00B91E9B" w:rsidP="00B91E9B">
            <w:pPr>
              <w:pStyle w:val="ListParagraph"/>
              <w:numPr>
                <w:ilvl w:val="0"/>
                <w:numId w:val="1"/>
              </w:numPr>
              <w:ind w:right="0"/>
              <w:contextualSpacing/>
              <w:jc w:val="left"/>
              <w:rPr>
                <w:sz w:val="20"/>
                <w:szCs w:val="20"/>
              </w:rPr>
            </w:pPr>
            <w:r w:rsidRPr="00B566F9">
              <w:rPr>
                <w:sz w:val="20"/>
                <w:szCs w:val="20"/>
              </w:rPr>
              <w:t>Invited by village officials</w:t>
            </w:r>
          </w:p>
        </w:tc>
        <w:tc>
          <w:tcPr>
            <w:tcW w:w="1317" w:type="dxa"/>
            <w:shd w:val="clear" w:color="auto" w:fill="auto"/>
          </w:tcPr>
          <w:p w14:paraId="09A60A32" w14:textId="05BD93AD" w:rsidR="00B91E9B" w:rsidRDefault="00B91E9B" w:rsidP="00FC0C1D">
            <w:pPr>
              <w:rPr>
                <w:rFonts w:eastAsia="Calibri"/>
                <w:sz w:val="20"/>
                <w:szCs w:val="20"/>
              </w:rPr>
            </w:pPr>
          </w:p>
          <w:p w14:paraId="54D70BF8" w14:textId="58F304CE" w:rsidR="00B566F9" w:rsidRDefault="00B566F9" w:rsidP="00FC0C1D">
            <w:pPr>
              <w:rPr>
                <w:rFonts w:eastAsia="Calibri"/>
                <w:sz w:val="20"/>
                <w:szCs w:val="20"/>
              </w:rPr>
            </w:pPr>
          </w:p>
          <w:p w14:paraId="7E0C3942" w14:textId="77777777" w:rsidR="00B566F9" w:rsidRPr="00B566F9" w:rsidRDefault="00B566F9" w:rsidP="00FC0C1D">
            <w:pPr>
              <w:rPr>
                <w:rFonts w:eastAsia="Calibri"/>
                <w:sz w:val="20"/>
                <w:szCs w:val="20"/>
              </w:rPr>
            </w:pPr>
          </w:p>
          <w:p w14:paraId="41E1DAE8" w14:textId="53BAE5DA" w:rsidR="00B91E9B" w:rsidRDefault="00B91E9B" w:rsidP="00FC0C1D">
            <w:pPr>
              <w:rPr>
                <w:rFonts w:eastAsia="Calibri"/>
                <w:sz w:val="20"/>
                <w:szCs w:val="20"/>
              </w:rPr>
            </w:pPr>
            <w:r w:rsidRPr="00B566F9">
              <w:rPr>
                <w:rFonts w:eastAsia="Calibri"/>
                <w:sz w:val="20"/>
                <w:szCs w:val="20"/>
              </w:rPr>
              <w:t>8</w:t>
            </w:r>
          </w:p>
          <w:p w14:paraId="4410BDD4" w14:textId="514F3B7E" w:rsidR="00B566F9" w:rsidRDefault="00B566F9" w:rsidP="00FC0C1D">
            <w:pPr>
              <w:rPr>
                <w:rFonts w:eastAsia="Calibri"/>
                <w:sz w:val="20"/>
                <w:szCs w:val="20"/>
              </w:rPr>
            </w:pPr>
          </w:p>
          <w:p w14:paraId="67AA2391" w14:textId="77777777" w:rsidR="00B566F9" w:rsidRPr="00B566F9" w:rsidRDefault="00B566F9" w:rsidP="00FC0C1D">
            <w:pPr>
              <w:rPr>
                <w:rFonts w:eastAsia="Calibri"/>
                <w:sz w:val="20"/>
                <w:szCs w:val="20"/>
              </w:rPr>
            </w:pPr>
          </w:p>
          <w:p w14:paraId="1097DFB5" w14:textId="77777777" w:rsidR="00B91E9B" w:rsidRPr="00B566F9" w:rsidRDefault="00B91E9B" w:rsidP="00FC0C1D">
            <w:pPr>
              <w:rPr>
                <w:rFonts w:eastAsia="Calibri"/>
                <w:sz w:val="20"/>
                <w:szCs w:val="20"/>
              </w:rPr>
            </w:pPr>
            <w:r w:rsidRPr="00B566F9">
              <w:rPr>
                <w:rFonts w:eastAsia="Calibri"/>
                <w:sz w:val="20"/>
                <w:szCs w:val="20"/>
              </w:rPr>
              <w:t>8</w:t>
            </w:r>
          </w:p>
        </w:tc>
        <w:tc>
          <w:tcPr>
            <w:tcW w:w="654" w:type="dxa"/>
            <w:shd w:val="clear" w:color="auto" w:fill="auto"/>
          </w:tcPr>
          <w:p w14:paraId="2D6DEC09" w14:textId="35FDA4CB" w:rsidR="00B91E9B" w:rsidRDefault="00B91E9B" w:rsidP="00FC0C1D">
            <w:pPr>
              <w:rPr>
                <w:rFonts w:eastAsia="Calibri"/>
                <w:sz w:val="20"/>
                <w:szCs w:val="20"/>
              </w:rPr>
            </w:pPr>
          </w:p>
          <w:p w14:paraId="5EA7D77C" w14:textId="6802A4C8" w:rsidR="00B566F9" w:rsidRDefault="00B566F9" w:rsidP="00FC0C1D">
            <w:pPr>
              <w:rPr>
                <w:rFonts w:eastAsia="Calibri"/>
                <w:sz w:val="20"/>
                <w:szCs w:val="20"/>
              </w:rPr>
            </w:pPr>
          </w:p>
          <w:p w14:paraId="48788CB5" w14:textId="77777777" w:rsidR="00B566F9" w:rsidRPr="00B566F9" w:rsidRDefault="00B566F9" w:rsidP="00FC0C1D">
            <w:pPr>
              <w:rPr>
                <w:rFonts w:eastAsia="Calibri"/>
                <w:sz w:val="20"/>
                <w:szCs w:val="20"/>
              </w:rPr>
            </w:pPr>
          </w:p>
          <w:p w14:paraId="6D04E178" w14:textId="201B41CB" w:rsidR="00B91E9B" w:rsidRDefault="00B91E9B" w:rsidP="00FC0C1D">
            <w:pPr>
              <w:rPr>
                <w:rFonts w:eastAsia="Calibri"/>
                <w:sz w:val="20"/>
                <w:szCs w:val="20"/>
              </w:rPr>
            </w:pPr>
            <w:r w:rsidRPr="00B566F9">
              <w:rPr>
                <w:rFonts w:eastAsia="Calibri"/>
                <w:sz w:val="20"/>
                <w:szCs w:val="20"/>
              </w:rPr>
              <w:t>50</w:t>
            </w:r>
            <w:r w:rsidR="00BF1D25">
              <w:rPr>
                <w:rFonts w:eastAsia="Calibri"/>
                <w:sz w:val="20"/>
                <w:szCs w:val="20"/>
              </w:rPr>
              <w:t>.0</w:t>
            </w:r>
          </w:p>
          <w:p w14:paraId="0F617739" w14:textId="29277A3C" w:rsidR="00B566F9" w:rsidRDefault="00B566F9" w:rsidP="00FC0C1D">
            <w:pPr>
              <w:rPr>
                <w:rFonts w:eastAsia="Calibri"/>
                <w:sz w:val="20"/>
                <w:szCs w:val="20"/>
              </w:rPr>
            </w:pPr>
          </w:p>
          <w:p w14:paraId="6A890FEF" w14:textId="77777777" w:rsidR="00B566F9" w:rsidRPr="00B566F9" w:rsidRDefault="00B566F9" w:rsidP="00FC0C1D">
            <w:pPr>
              <w:rPr>
                <w:rFonts w:eastAsia="Calibri"/>
                <w:sz w:val="20"/>
                <w:szCs w:val="20"/>
              </w:rPr>
            </w:pPr>
          </w:p>
          <w:p w14:paraId="6F4AAE61" w14:textId="3817F634" w:rsidR="00B91E9B" w:rsidRPr="00B566F9" w:rsidRDefault="00B91E9B" w:rsidP="00FC0C1D">
            <w:pPr>
              <w:rPr>
                <w:rFonts w:eastAsia="Calibri"/>
                <w:sz w:val="20"/>
                <w:szCs w:val="20"/>
              </w:rPr>
            </w:pPr>
            <w:r w:rsidRPr="00B566F9">
              <w:rPr>
                <w:rFonts w:eastAsia="Calibri"/>
                <w:sz w:val="20"/>
                <w:szCs w:val="20"/>
              </w:rPr>
              <w:t>50</w:t>
            </w:r>
            <w:r w:rsidR="00BF1D25">
              <w:rPr>
                <w:rFonts w:eastAsia="Calibri"/>
                <w:sz w:val="20"/>
                <w:szCs w:val="20"/>
              </w:rPr>
              <w:t>.0</w:t>
            </w:r>
          </w:p>
        </w:tc>
      </w:tr>
    </w:tbl>
    <w:p w14:paraId="7F7F5A13" w14:textId="4D1CC8E3" w:rsidR="00B91E9B" w:rsidRDefault="00B91E9B" w:rsidP="004F4794">
      <w:pPr>
        <w:ind w:firstLine="426"/>
        <w:jc w:val="both"/>
        <w:rPr>
          <w:sz w:val="24"/>
          <w:szCs w:val="24"/>
          <w:lang w:val="id-ID"/>
        </w:rPr>
      </w:pPr>
    </w:p>
    <w:p w14:paraId="4E243FFA" w14:textId="7D02F6D3" w:rsidR="00622DE7" w:rsidRDefault="00622DE7" w:rsidP="00622DE7">
      <w:pPr>
        <w:ind w:firstLine="426"/>
        <w:jc w:val="both"/>
        <w:rPr>
          <w:sz w:val="24"/>
          <w:szCs w:val="24"/>
          <w:lang w:val="id-ID"/>
        </w:rPr>
      </w:pPr>
      <w:r w:rsidRPr="00CF0238">
        <w:rPr>
          <w:sz w:val="24"/>
          <w:szCs w:val="24"/>
          <w:lang w:val="id-ID"/>
        </w:rPr>
        <w:t>Table 2 describes the level of knowledge, attitudes and self-efficacy of Ka</w:t>
      </w:r>
      <w:r w:rsidR="00A20D41">
        <w:rPr>
          <w:sz w:val="24"/>
          <w:szCs w:val="24"/>
          <w:lang w:val="en-US"/>
        </w:rPr>
        <w:t xml:space="preserve">rang </w:t>
      </w:r>
      <w:r w:rsidRPr="00CF0238">
        <w:rPr>
          <w:sz w:val="24"/>
          <w:szCs w:val="24"/>
          <w:lang w:val="id-ID"/>
        </w:rPr>
        <w:t>tar</w:t>
      </w:r>
      <w:proofErr w:type="spellStart"/>
      <w:r w:rsidR="00A20D41">
        <w:rPr>
          <w:sz w:val="24"/>
          <w:szCs w:val="24"/>
          <w:lang w:val="en-US"/>
        </w:rPr>
        <w:t>una</w:t>
      </w:r>
      <w:proofErr w:type="spellEnd"/>
      <w:r w:rsidRPr="00CF0238">
        <w:rPr>
          <w:sz w:val="24"/>
          <w:szCs w:val="24"/>
          <w:lang w:val="id-ID"/>
        </w:rPr>
        <w:t xml:space="preserve"> members towards the anemia prevention program and iron-folate supplementation in young women in Sirnagalih village, Bogor, West Java. Most (43.75%) respondents have less knowledge about anemia and giving iron tablets to young girls. The majority of respondents have good attitudes and self-efficacy towards efforts that involve katar and cadres in the prevention and control of anemia in adolescent girls in the village. The support provided by both the health office/Puskesmas and the village office was assessed by the respondents as balanced, 50% considered it adequate, the other 50% considered it inadequate.</w:t>
      </w:r>
    </w:p>
    <w:p w14:paraId="5FB73E4C" w14:textId="77777777" w:rsidR="00622DE7" w:rsidRDefault="00622DE7" w:rsidP="00622DE7">
      <w:pPr>
        <w:ind w:firstLine="426"/>
        <w:jc w:val="both"/>
        <w:rPr>
          <w:sz w:val="24"/>
          <w:szCs w:val="24"/>
          <w:lang w:val="id-ID"/>
        </w:rPr>
      </w:pPr>
    </w:p>
    <w:p w14:paraId="65CF6F89" w14:textId="52DE4D8E" w:rsidR="004075A2" w:rsidRPr="00D20A50" w:rsidRDefault="004075A2" w:rsidP="004075A2">
      <w:pPr>
        <w:rPr>
          <w:b/>
          <w:bCs/>
          <w:sz w:val="24"/>
          <w:szCs w:val="24"/>
        </w:rPr>
      </w:pPr>
      <w:proofErr w:type="spellStart"/>
      <w:r w:rsidRPr="00D20A50">
        <w:rPr>
          <w:b/>
          <w:bCs/>
          <w:sz w:val="24"/>
          <w:szCs w:val="24"/>
        </w:rPr>
        <w:t>Tabel</w:t>
      </w:r>
      <w:proofErr w:type="spellEnd"/>
      <w:r w:rsidRPr="00D20A50">
        <w:rPr>
          <w:b/>
          <w:bCs/>
          <w:sz w:val="24"/>
          <w:szCs w:val="24"/>
        </w:rPr>
        <w:t xml:space="preserve"> 2 Knowledge, Attitude and Self Efficacy CBO members towards Female </w:t>
      </w:r>
      <w:proofErr w:type="spellStart"/>
      <w:r w:rsidRPr="00D20A50">
        <w:rPr>
          <w:b/>
          <w:bCs/>
          <w:sz w:val="24"/>
          <w:szCs w:val="24"/>
        </w:rPr>
        <w:t>Adolescents’Anemia</w:t>
      </w:r>
      <w:proofErr w:type="spellEnd"/>
      <w:r w:rsidRPr="00D20A50">
        <w:rPr>
          <w:b/>
          <w:bCs/>
          <w:sz w:val="24"/>
          <w:szCs w:val="24"/>
        </w:rPr>
        <w:t xml:space="preserve"> Prevention program at </w:t>
      </w:r>
      <w:proofErr w:type="spellStart"/>
      <w:r w:rsidRPr="00D20A50">
        <w:rPr>
          <w:b/>
          <w:bCs/>
          <w:sz w:val="24"/>
          <w:szCs w:val="24"/>
        </w:rPr>
        <w:t>desa</w:t>
      </w:r>
      <w:proofErr w:type="spellEnd"/>
      <w:r w:rsidRPr="00D20A50">
        <w:rPr>
          <w:b/>
          <w:bCs/>
          <w:sz w:val="24"/>
          <w:szCs w:val="24"/>
        </w:rPr>
        <w:t xml:space="preserve"> </w:t>
      </w:r>
      <w:proofErr w:type="spellStart"/>
      <w:r w:rsidRPr="00D20A50">
        <w:rPr>
          <w:b/>
          <w:bCs/>
          <w:sz w:val="24"/>
          <w:szCs w:val="24"/>
        </w:rPr>
        <w:t>Sirnagalih</w:t>
      </w:r>
      <w:proofErr w:type="spellEnd"/>
      <w:r w:rsidRPr="00D20A50">
        <w:rPr>
          <w:b/>
          <w:bCs/>
          <w:sz w:val="24"/>
          <w:szCs w:val="24"/>
        </w:rPr>
        <w:t xml:space="preserve">, Bogor </w:t>
      </w:r>
    </w:p>
    <w:p w14:paraId="1259E85B" w14:textId="77777777" w:rsidR="004075A2" w:rsidRPr="009529D6" w:rsidRDefault="004075A2" w:rsidP="004075A2">
      <w:pPr>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436"/>
        <w:gridCol w:w="725"/>
      </w:tblGrid>
      <w:tr w:rsidR="004075A2" w:rsidRPr="00D20A50" w14:paraId="5C9DD0AD" w14:textId="77777777" w:rsidTr="004075A2">
        <w:trPr>
          <w:trHeight w:val="625"/>
        </w:trPr>
        <w:tc>
          <w:tcPr>
            <w:tcW w:w="7650" w:type="dxa"/>
            <w:tcBorders>
              <w:top w:val="single" w:sz="4" w:space="0" w:color="auto"/>
              <w:bottom w:val="single" w:sz="4" w:space="0" w:color="auto"/>
            </w:tcBorders>
          </w:tcPr>
          <w:p w14:paraId="61F6B535" w14:textId="77777777" w:rsidR="004075A2" w:rsidRPr="00D20A50" w:rsidRDefault="004075A2" w:rsidP="00ED423C">
            <w:pPr>
              <w:contextualSpacing/>
              <w:rPr>
                <w:b/>
                <w:bCs/>
              </w:rPr>
            </w:pPr>
            <w:r w:rsidRPr="00D20A50">
              <w:rPr>
                <w:b/>
                <w:bCs/>
              </w:rPr>
              <w:t xml:space="preserve">Knowledge, Attitude and Self Efficacy CBO members towards Female </w:t>
            </w:r>
            <w:proofErr w:type="spellStart"/>
            <w:r w:rsidRPr="00D20A50">
              <w:rPr>
                <w:b/>
                <w:bCs/>
              </w:rPr>
              <w:t>Adolescents’Anemia</w:t>
            </w:r>
            <w:proofErr w:type="spellEnd"/>
            <w:r w:rsidRPr="00D20A50">
              <w:rPr>
                <w:b/>
                <w:bCs/>
              </w:rPr>
              <w:t xml:space="preserve"> Prevention program</w:t>
            </w:r>
          </w:p>
        </w:tc>
        <w:tc>
          <w:tcPr>
            <w:tcW w:w="425" w:type="dxa"/>
            <w:tcBorders>
              <w:top w:val="single" w:sz="4" w:space="0" w:color="auto"/>
              <w:bottom w:val="single" w:sz="4" w:space="0" w:color="auto"/>
            </w:tcBorders>
          </w:tcPr>
          <w:p w14:paraId="5092954F" w14:textId="77777777" w:rsidR="004075A2" w:rsidRPr="00D20A50" w:rsidRDefault="004075A2" w:rsidP="00ED423C">
            <w:pPr>
              <w:rPr>
                <w:b/>
                <w:bCs/>
              </w:rPr>
            </w:pPr>
            <w:r w:rsidRPr="00D20A50">
              <w:rPr>
                <w:b/>
                <w:bCs/>
              </w:rPr>
              <w:t>F</w:t>
            </w:r>
          </w:p>
          <w:p w14:paraId="2276D67C" w14:textId="77777777" w:rsidR="004075A2" w:rsidRPr="00D20A50" w:rsidRDefault="004075A2" w:rsidP="00ED423C">
            <w:pPr>
              <w:rPr>
                <w:b/>
                <w:bCs/>
              </w:rPr>
            </w:pPr>
          </w:p>
          <w:p w14:paraId="440F2445" w14:textId="77777777" w:rsidR="004075A2" w:rsidRPr="00D20A50" w:rsidRDefault="004075A2" w:rsidP="00ED423C">
            <w:pPr>
              <w:rPr>
                <w:b/>
                <w:bCs/>
              </w:rPr>
            </w:pPr>
          </w:p>
        </w:tc>
        <w:tc>
          <w:tcPr>
            <w:tcW w:w="784" w:type="dxa"/>
            <w:tcBorders>
              <w:top w:val="single" w:sz="4" w:space="0" w:color="auto"/>
              <w:bottom w:val="single" w:sz="4" w:space="0" w:color="auto"/>
            </w:tcBorders>
          </w:tcPr>
          <w:p w14:paraId="13EF4103" w14:textId="77777777" w:rsidR="004075A2" w:rsidRPr="00D20A50" w:rsidRDefault="004075A2" w:rsidP="00ED423C">
            <w:pPr>
              <w:rPr>
                <w:b/>
                <w:bCs/>
              </w:rPr>
            </w:pPr>
            <w:r w:rsidRPr="00D20A50">
              <w:rPr>
                <w:b/>
                <w:bCs/>
              </w:rPr>
              <w:t>%</w:t>
            </w:r>
          </w:p>
        </w:tc>
      </w:tr>
      <w:tr w:rsidR="004075A2" w:rsidRPr="009529D6" w14:paraId="5321C19F" w14:textId="77777777" w:rsidTr="004075A2">
        <w:tc>
          <w:tcPr>
            <w:tcW w:w="7650" w:type="dxa"/>
            <w:tcBorders>
              <w:top w:val="single" w:sz="4" w:space="0" w:color="auto"/>
            </w:tcBorders>
          </w:tcPr>
          <w:p w14:paraId="2D5B6CB8" w14:textId="7284F746" w:rsidR="004075A2" w:rsidRPr="004075A2" w:rsidRDefault="004075A2" w:rsidP="00ED423C">
            <w:r w:rsidRPr="004075A2">
              <w:t xml:space="preserve">Knowledge of CBO members towards Female </w:t>
            </w:r>
            <w:proofErr w:type="spellStart"/>
            <w:r w:rsidRPr="004075A2">
              <w:t>Adolescents’Anemia</w:t>
            </w:r>
            <w:proofErr w:type="spellEnd"/>
            <w:r w:rsidRPr="004075A2">
              <w:t xml:space="preserve"> Prevention program </w:t>
            </w:r>
          </w:p>
          <w:p w14:paraId="27668997" w14:textId="77777777" w:rsidR="004075A2" w:rsidRPr="004075A2" w:rsidRDefault="004075A2" w:rsidP="004075A2">
            <w:pPr>
              <w:pStyle w:val="ListParagraph"/>
              <w:numPr>
                <w:ilvl w:val="0"/>
                <w:numId w:val="1"/>
              </w:numPr>
              <w:ind w:right="0"/>
              <w:contextualSpacing/>
              <w:jc w:val="left"/>
            </w:pPr>
            <w:r w:rsidRPr="004075A2">
              <w:t xml:space="preserve">Good </w:t>
            </w:r>
            <w:proofErr w:type="gramStart"/>
            <w:r w:rsidRPr="004075A2">
              <w:t>( &gt;</w:t>
            </w:r>
            <w:proofErr w:type="gramEnd"/>
            <w:r w:rsidRPr="004075A2">
              <w:t>80)</w:t>
            </w:r>
          </w:p>
          <w:p w14:paraId="23B928EB" w14:textId="77777777" w:rsidR="004075A2" w:rsidRPr="004075A2" w:rsidRDefault="004075A2" w:rsidP="004075A2">
            <w:pPr>
              <w:pStyle w:val="ListParagraph"/>
              <w:numPr>
                <w:ilvl w:val="0"/>
                <w:numId w:val="1"/>
              </w:numPr>
              <w:ind w:right="0"/>
              <w:contextualSpacing/>
              <w:jc w:val="left"/>
            </w:pPr>
            <w:r w:rsidRPr="004075A2">
              <w:t>Enough (60-79)</w:t>
            </w:r>
          </w:p>
          <w:p w14:paraId="116388A7" w14:textId="77777777" w:rsidR="004075A2" w:rsidRPr="004075A2" w:rsidRDefault="004075A2" w:rsidP="004075A2">
            <w:pPr>
              <w:pStyle w:val="ListParagraph"/>
              <w:numPr>
                <w:ilvl w:val="0"/>
                <w:numId w:val="1"/>
              </w:numPr>
              <w:ind w:right="0"/>
              <w:contextualSpacing/>
              <w:jc w:val="left"/>
            </w:pPr>
            <w:r w:rsidRPr="004075A2">
              <w:t>Less adequate (&lt;60)</w:t>
            </w:r>
          </w:p>
        </w:tc>
        <w:tc>
          <w:tcPr>
            <w:tcW w:w="425" w:type="dxa"/>
            <w:tcBorders>
              <w:top w:val="single" w:sz="4" w:space="0" w:color="auto"/>
            </w:tcBorders>
          </w:tcPr>
          <w:p w14:paraId="327E3ADF" w14:textId="77777777" w:rsidR="004075A2" w:rsidRPr="004075A2" w:rsidRDefault="004075A2" w:rsidP="00ED423C"/>
          <w:p w14:paraId="2FA54C70" w14:textId="16BDC453" w:rsidR="004075A2" w:rsidRDefault="004075A2" w:rsidP="00ED423C"/>
          <w:p w14:paraId="09215010" w14:textId="5E093A38" w:rsidR="004075A2" w:rsidRDefault="004075A2" w:rsidP="00ED423C"/>
          <w:p w14:paraId="230B7054" w14:textId="77777777" w:rsidR="004075A2" w:rsidRPr="004075A2" w:rsidRDefault="004075A2" w:rsidP="00ED423C"/>
          <w:p w14:paraId="73722CD7" w14:textId="77777777" w:rsidR="004075A2" w:rsidRPr="004075A2" w:rsidRDefault="004075A2" w:rsidP="00ED423C">
            <w:r w:rsidRPr="004075A2">
              <w:t>5</w:t>
            </w:r>
          </w:p>
          <w:p w14:paraId="7E2F313B" w14:textId="77777777" w:rsidR="004075A2" w:rsidRPr="004075A2" w:rsidRDefault="004075A2" w:rsidP="00ED423C">
            <w:r w:rsidRPr="004075A2">
              <w:t>4</w:t>
            </w:r>
          </w:p>
          <w:p w14:paraId="7380B1D2" w14:textId="77777777" w:rsidR="004075A2" w:rsidRPr="004075A2" w:rsidRDefault="004075A2" w:rsidP="00ED423C">
            <w:r w:rsidRPr="004075A2">
              <w:t>7</w:t>
            </w:r>
          </w:p>
        </w:tc>
        <w:tc>
          <w:tcPr>
            <w:tcW w:w="784" w:type="dxa"/>
            <w:tcBorders>
              <w:top w:val="single" w:sz="4" w:space="0" w:color="auto"/>
            </w:tcBorders>
          </w:tcPr>
          <w:p w14:paraId="2B32BC34" w14:textId="77777777" w:rsidR="004075A2" w:rsidRPr="004075A2" w:rsidRDefault="004075A2" w:rsidP="00ED423C"/>
          <w:p w14:paraId="546AD48E" w14:textId="08E11545" w:rsidR="004075A2" w:rsidRDefault="004075A2" w:rsidP="00ED423C"/>
          <w:p w14:paraId="3DF9A7DF" w14:textId="2DA9EB82" w:rsidR="004075A2" w:rsidRDefault="004075A2" w:rsidP="00ED423C"/>
          <w:p w14:paraId="6ABC975E" w14:textId="77777777" w:rsidR="004075A2" w:rsidRPr="004075A2" w:rsidRDefault="004075A2" w:rsidP="00ED423C"/>
          <w:p w14:paraId="2169383C" w14:textId="2BC6A757" w:rsidR="004075A2" w:rsidRPr="004075A2" w:rsidRDefault="004075A2" w:rsidP="00ED423C">
            <w:r w:rsidRPr="004075A2">
              <w:t>31</w:t>
            </w:r>
            <w:r w:rsidR="00BF1D25">
              <w:t>.</w:t>
            </w:r>
            <w:r w:rsidRPr="004075A2">
              <w:t>25</w:t>
            </w:r>
          </w:p>
          <w:p w14:paraId="5C9F17CF" w14:textId="6A39B714" w:rsidR="004075A2" w:rsidRPr="004075A2" w:rsidRDefault="004075A2" w:rsidP="00ED423C">
            <w:r w:rsidRPr="004075A2">
              <w:t>0</w:t>
            </w:r>
            <w:r w:rsidR="00BF1D25">
              <w:t>.</w:t>
            </w:r>
            <w:r w:rsidRPr="004075A2">
              <w:t>25</w:t>
            </w:r>
          </w:p>
          <w:p w14:paraId="5E613B03" w14:textId="59CCFAF1" w:rsidR="004075A2" w:rsidRPr="004075A2" w:rsidRDefault="004075A2" w:rsidP="00ED423C">
            <w:r w:rsidRPr="004075A2">
              <w:t>43</w:t>
            </w:r>
            <w:r w:rsidR="00BF1D25">
              <w:t>.</w:t>
            </w:r>
            <w:r w:rsidRPr="004075A2">
              <w:t>75</w:t>
            </w:r>
          </w:p>
        </w:tc>
      </w:tr>
      <w:tr w:rsidR="004075A2" w:rsidRPr="009529D6" w14:paraId="087DF8B0" w14:textId="77777777" w:rsidTr="004075A2">
        <w:tc>
          <w:tcPr>
            <w:tcW w:w="7650" w:type="dxa"/>
          </w:tcPr>
          <w:p w14:paraId="510DE14E" w14:textId="77777777" w:rsidR="004075A2" w:rsidRPr="004075A2" w:rsidRDefault="004075A2" w:rsidP="00ED423C">
            <w:r w:rsidRPr="004075A2">
              <w:t xml:space="preserve">Attitude of CBO members towards Female </w:t>
            </w:r>
            <w:proofErr w:type="spellStart"/>
            <w:r w:rsidRPr="004075A2">
              <w:t>Adolescents’Anemia</w:t>
            </w:r>
            <w:proofErr w:type="spellEnd"/>
            <w:r w:rsidRPr="004075A2">
              <w:t xml:space="preserve"> Prevention program </w:t>
            </w:r>
          </w:p>
          <w:p w14:paraId="1C89406F" w14:textId="77777777" w:rsidR="004075A2" w:rsidRPr="004075A2" w:rsidRDefault="004075A2" w:rsidP="004075A2">
            <w:pPr>
              <w:pStyle w:val="ListParagraph"/>
              <w:numPr>
                <w:ilvl w:val="0"/>
                <w:numId w:val="1"/>
              </w:numPr>
              <w:ind w:right="0"/>
              <w:contextualSpacing/>
              <w:jc w:val="left"/>
            </w:pPr>
            <w:r w:rsidRPr="004075A2">
              <w:t>Positive</w:t>
            </w:r>
          </w:p>
          <w:p w14:paraId="5879A6A8" w14:textId="77777777" w:rsidR="004075A2" w:rsidRPr="004075A2" w:rsidRDefault="004075A2" w:rsidP="004075A2">
            <w:pPr>
              <w:pStyle w:val="ListParagraph"/>
              <w:numPr>
                <w:ilvl w:val="0"/>
                <w:numId w:val="1"/>
              </w:numPr>
              <w:ind w:right="0"/>
              <w:contextualSpacing/>
              <w:jc w:val="left"/>
            </w:pPr>
            <w:r w:rsidRPr="004075A2">
              <w:t>Negative</w:t>
            </w:r>
          </w:p>
        </w:tc>
        <w:tc>
          <w:tcPr>
            <w:tcW w:w="425" w:type="dxa"/>
          </w:tcPr>
          <w:p w14:paraId="4DFB6E0C" w14:textId="77777777" w:rsidR="004075A2" w:rsidRPr="004075A2" w:rsidRDefault="004075A2" w:rsidP="00ED423C"/>
          <w:p w14:paraId="41B9953B" w14:textId="6007D361" w:rsidR="004075A2" w:rsidRDefault="004075A2" w:rsidP="00ED423C"/>
          <w:p w14:paraId="27450F19" w14:textId="1F610A46" w:rsidR="004075A2" w:rsidRDefault="004075A2" w:rsidP="00ED423C"/>
          <w:p w14:paraId="68D3F140" w14:textId="77777777" w:rsidR="004075A2" w:rsidRPr="004075A2" w:rsidRDefault="004075A2" w:rsidP="00ED423C"/>
          <w:p w14:paraId="079ECE3B" w14:textId="77777777" w:rsidR="004075A2" w:rsidRPr="004075A2" w:rsidRDefault="004075A2" w:rsidP="00ED423C">
            <w:r w:rsidRPr="004075A2">
              <w:t>9</w:t>
            </w:r>
          </w:p>
          <w:p w14:paraId="725A6015" w14:textId="77777777" w:rsidR="004075A2" w:rsidRPr="004075A2" w:rsidRDefault="004075A2" w:rsidP="00ED423C">
            <w:r w:rsidRPr="004075A2">
              <w:t>7</w:t>
            </w:r>
          </w:p>
        </w:tc>
        <w:tc>
          <w:tcPr>
            <w:tcW w:w="784" w:type="dxa"/>
          </w:tcPr>
          <w:p w14:paraId="1024FDBE" w14:textId="77777777" w:rsidR="004075A2" w:rsidRPr="004075A2" w:rsidRDefault="004075A2" w:rsidP="00ED423C"/>
          <w:p w14:paraId="76271C17" w14:textId="25DB0B94" w:rsidR="004075A2" w:rsidRDefault="004075A2" w:rsidP="00ED423C"/>
          <w:p w14:paraId="5F57F2BF" w14:textId="4C087C40" w:rsidR="004075A2" w:rsidRDefault="004075A2" w:rsidP="00ED423C"/>
          <w:p w14:paraId="7C938E8B" w14:textId="77777777" w:rsidR="004075A2" w:rsidRPr="004075A2" w:rsidRDefault="004075A2" w:rsidP="00ED423C"/>
          <w:p w14:paraId="556D95CA" w14:textId="1CEF548E" w:rsidR="004075A2" w:rsidRPr="004075A2" w:rsidRDefault="004075A2" w:rsidP="00ED423C">
            <w:r w:rsidRPr="004075A2">
              <w:t>56</w:t>
            </w:r>
            <w:r w:rsidR="00BF1D25">
              <w:t>.</w:t>
            </w:r>
            <w:r w:rsidRPr="004075A2">
              <w:t>25</w:t>
            </w:r>
          </w:p>
          <w:p w14:paraId="681854E6" w14:textId="182E881F" w:rsidR="004075A2" w:rsidRPr="004075A2" w:rsidRDefault="004075A2" w:rsidP="00ED423C">
            <w:r w:rsidRPr="004075A2">
              <w:t>43</w:t>
            </w:r>
            <w:r w:rsidR="00BF1D25">
              <w:t>.</w:t>
            </w:r>
            <w:r w:rsidRPr="004075A2">
              <w:t>75</w:t>
            </w:r>
          </w:p>
        </w:tc>
      </w:tr>
      <w:tr w:rsidR="004075A2" w:rsidRPr="009529D6" w14:paraId="0C3F86F9" w14:textId="77777777" w:rsidTr="004075A2">
        <w:tc>
          <w:tcPr>
            <w:tcW w:w="7650" w:type="dxa"/>
          </w:tcPr>
          <w:p w14:paraId="63BA3873" w14:textId="77777777" w:rsidR="004075A2" w:rsidRPr="004075A2" w:rsidRDefault="004075A2" w:rsidP="00ED423C">
            <w:proofErr w:type="spellStart"/>
            <w:r w:rsidRPr="004075A2">
              <w:t>Self Efficacy</w:t>
            </w:r>
            <w:proofErr w:type="spellEnd"/>
            <w:r w:rsidRPr="004075A2">
              <w:t xml:space="preserve"> CBO members towards Female </w:t>
            </w:r>
            <w:proofErr w:type="spellStart"/>
            <w:r w:rsidRPr="004075A2">
              <w:t>Adolescents’Anemia</w:t>
            </w:r>
            <w:proofErr w:type="spellEnd"/>
            <w:r w:rsidRPr="004075A2">
              <w:t xml:space="preserve"> Prevention program </w:t>
            </w:r>
          </w:p>
          <w:p w14:paraId="7A147CAC" w14:textId="77777777" w:rsidR="004075A2" w:rsidRPr="004075A2" w:rsidRDefault="004075A2" w:rsidP="004075A2">
            <w:pPr>
              <w:pStyle w:val="ListParagraph"/>
              <w:numPr>
                <w:ilvl w:val="0"/>
                <w:numId w:val="1"/>
              </w:numPr>
              <w:ind w:right="0"/>
              <w:contextualSpacing/>
              <w:jc w:val="left"/>
            </w:pPr>
            <w:r w:rsidRPr="004075A2">
              <w:t>High Self Efficacy</w:t>
            </w:r>
          </w:p>
          <w:p w14:paraId="7EFFDE13" w14:textId="77777777" w:rsidR="004075A2" w:rsidRPr="004075A2" w:rsidRDefault="004075A2" w:rsidP="004075A2">
            <w:pPr>
              <w:pStyle w:val="ListParagraph"/>
              <w:numPr>
                <w:ilvl w:val="0"/>
                <w:numId w:val="1"/>
              </w:numPr>
              <w:ind w:right="0"/>
              <w:contextualSpacing/>
              <w:jc w:val="left"/>
            </w:pPr>
            <w:r w:rsidRPr="004075A2">
              <w:t>Low Self Efficacy</w:t>
            </w:r>
          </w:p>
        </w:tc>
        <w:tc>
          <w:tcPr>
            <w:tcW w:w="425" w:type="dxa"/>
          </w:tcPr>
          <w:p w14:paraId="38F76807" w14:textId="77777777" w:rsidR="004075A2" w:rsidRPr="004075A2" w:rsidRDefault="004075A2" w:rsidP="00ED423C"/>
          <w:p w14:paraId="065EA864" w14:textId="43D06EE5" w:rsidR="004075A2" w:rsidRDefault="004075A2" w:rsidP="00ED423C"/>
          <w:p w14:paraId="2E3B1F89" w14:textId="2D35842B" w:rsidR="004075A2" w:rsidRDefault="004075A2" w:rsidP="00ED423C"/>
          <w:p w14:paraId="791C1E57" w14:textId="77777777" w:rsidR="004075A2" w:rsidRPr="004075A2" w:rsidRDefault="004075A2" w:rsidP="00ED423C"/>
          <w:p w14:paraId="786EC19E" w14:textId="77777777" w:rsidR="004075A2" w:rsidRPr="004075A2" w:rsidRDefault="004075A2" w:rsidP="00ED423C">
            <w:r w:rsidRPr="004075A2">
              <w:t>11</w:t>
            </w:r>
          </w:p>
          <w:p w14:paraId="4C06BA91" w14:textId="77777777" w:rsidR="004075A2" w:rsidRPr="004075A2" w:rsidRDefault="004075A2" w:rsidP="00ED423C">
            <w:r w:rsidRPr="004075A2">
              <w:t>5</w:t>
            </w:r>
          </w:p>
        </w:tc>
        <w:tc>
          <w:tcPr>
            <w:tcW w:w="784" w:type="dxa"/>
          </w:tcPr>
          <w:p w14:paraId="3930235E" w14:textId="77777777" w:rsidR="004075A2" w:rsidRPr="004075A2" w:rsidRDefault="004075A2" w:rsidP="00ED423C"/>
          <w:p w14:paraId="06C9AD0F" w14:textId="46C4DCB3" w:rsidR="004075A2" w:rsidRDefault="004075A2" w:rsidP="00ED423C"/>
          <w:p w14:paraId="0953AADA" w14:textId="69CE2F48" w:rsidR="004075A2" w:rsidRDefault="004075A2" w:rsidP="00ED423C"/>
          <w:p w14:paraId="25F8BEF1" w14:textId="77777777" w:rsidR="004075A2" w:rsidRPr="004075A2" w:rsidRDefault="004075A2" w:rsidP="00ED423C"/>
          <w:p w14:paraId="0200DF1C" w14:textId="56AFB3B4" w:rsidR="004075A2" w:rsidRPr="004075A2" w:rsidRDefault="004075A2" w:rsidP="00ED423C">
            <w:r w:rsidRPr="004075A2">
              <w:t>68</w:t>
            </w:r>
            <w:r w:rsidR="00BF1D25">
              <w:t>.</w:t>
            </w:r>
            <w:r w:rsidRPr="004075A2">
              <w:t>75</w:t>
            </w:r>
          </w:p>
          <w:p w14:paraId="767BF3A9" w14:textId="39697388" w:rsidR="004075A2" w:rsidRPr="004075A2" w:rsidRDefault="004075A2" w:rsidP="00ED423C">
            <w:r w:rsidRPr="004075A2">
              <w:t>31</w:t>
            </w:r>
            <w:r w:rsidR="00BF1D25">
              <w:t>.</w:t>
            </w:r>
            <w:r w:rsidRPr="004075A2">
              <w:t>25</w:t>
            </w:r>
          </w:p>
        </w:tc>
      </w:tr>
      <w:tr w:rsidR="004075A2" w:rsidRPr="009529D6" w14:paraId="647966C7" w14:textId="77777777" w:rsidTr="004075A2">
        <w:tc>
          <w:tcPr>
            <w:tcW w:w="7650" w:type="dxa"/>
          </w:tcPr>
          <w:p w14:paraId="7C29AA23" w14:textId="77777777" w:rsidR="004075A2" w:rsidRPr="004075A2" w:rsidRDefault="004075A2" w:rsidP="00ED423C">
            <w:pPr>
              <w:contextualSpacing/>
            </w:pPr>
            <w:r w:rsidRPr="004075A2">
              <w:t>Support from Village Officials and Health Authority</w:t>
            </w:r>
          </w:p>
          <w:p w14:paraId="6570FCF2" w14:textId="77777777" w:rsidR="004075A2" w:rsidRPr="004075A2" w:rsidRDefault="004075A2" w:rsidP="004075A2">
            <w:pPr>
              <w:pStyle w:val="ListParagraph"/>
              <w:numPr>
                <w:ilvl w:val="0"/>
                <w:numId w:val="1"/>
              </w:numPr>
              <w:ind w:right="0"/>
              <w:contextualSpacing/>
              <w:jc w:val="left"/>
            </w:pPr>
            <w:r w:rsidRPr="004075A2">
              <w:t>Adequate</w:t>
            </w:r>
          </w:p>
          <w:p w14:paraId="3AA4B00C" w14:textId="77777777" w:rsidR="004075A2" w:rsidRPr="004075A2" w:rsidRDefault="004075A2" w:rsidP="004075A2">
            <w:pPr>
              <w:pStyle w:val="ListParagraph"/>
              <w:numPr>
                <w:ilvl w:val="0"/>
                <w:numId w:val="1"/>
              </w:numPr>
              <w:ind w:right="0"/>
              <w:contextualSpacing/>
              <w:jc w:val="left"/>
            </w:pPr>
            <w:r w:rsidRPr="004075A2">
              <w:t xml:space="preserve">Less Adequate </w:t>
            </w:r>
          </w:p>
        </w:tc>
        <w:tc>
          <w:tcPr>
            <w:tcW w:w="425" w:type="dxa"/>
          </w:tcPr>
          <w:p w14:paraId="5B0297EC" w14:textId="52C1D899" w:rsidR="004075A2" w:rsidRDefault="004075A2" w:rsidP="00ED423C"/>
          <w:p w14:paraId="719F567F" w14:textId="77777777" w:rsidR="004075A2" w:rsidRPr="004075A2" w:rsidRDefault="004075A2" w:rsidP="00ED423C"/>
          <w:p w14:paraId="0D8B113A" w14:textId="77777777" w:rsidR="004075A2" w:rsidRPr="004075A2" w:rsidRDefault="004075A2" w:rsidP="00ED423C">
            <w:r w:rsidRPr="004075A2">
              <w:t>8</w:t>
            </w:r>
          </w:p>
          <w:p w14:paraId="2B20A567" w14:textId="77777777" w:rsidR="004075A2" w:rsidRPr="004075A2" w:rsidRDefault="004075A2" w:rsidP="00ED423C">
            <w:r w:rsidRPr="004075A2">
              <w:t>8</w:t>
            </w:r>
          </w:p>
        </w:tc>
        <w:tc>
          <w:tcPr>
            <w:tcW w:w="784" w:type="dxa"/>
          </w:tcPr>
          <w:p w14:paraId="1E763743" w14:textId="08C63C14" w:rsidR="004075A2" w:rsidRDefault="004075A2" w:rsidP="00ED423C"/>
          <w:p w14:paraId="37FB7B25" w14:textId="77777777" w:rsidR="004075A2" w:rsidRPr="004075A2" w:rsidRDefault="004075A2" w:rsidP="00ED423C"/>
          <w:p w14:paraId="3832CCD2" w14:textId="204974CD" w:rsidR="004075A2" w:rsidRPr="004075A2" w:rsidRDefault="004075A2" w:rsidP="00ED423C">
            <w:r w:rsidRPr="004075A2">
              <w:t>50</w:t>
            </w:r>
            <w:r w:rsidR="00BF1D25">
              <w:t>.</w:t>
            </w:r>
            <w:r w:rsidRPr="004075A2">
              <w:t>00</w:t>
            </w:r>
          </w:p>
          <w:p w14:paraId="0FE87912" w14:textId="0F484B00" w:rsidR="004075A2" w:rsidRPr="004075A2" w:rsidRDefault="004075A2" w:rsidP="00ED423C">
            <w:r w:rsidRPr="004075A2">
              <w:t>50</w:t>
            </w:r>
            <w:r w:rsidR="00BF1D25">
              <w:t>.</w:t>
            </w:r>
            <w:r w:rsidRPr="004075A2">
              <w:t>00</w:t>
            </w:r>
          </w:p>
        </w:tc>
      </w:tr>
    </w:tbl>
    <w:p w14:paraId="597BA1FB" w14:textId="0AF305FD" w:rsidR="00CF0238" w:rsidRDefault="00CF0238" w:rsidP="004F4794">
      <w:pPr>
        <w:ind w:firstLine="426"/>
        <w:jc w:val="both"/>
        <w:rPr>
          <w:sz w:val="24"/>
          <w:szCs w:val="24"/>
          <w:lang w:val="id-ID"/>
        </w:rPr>
      </w:pPr>
    </w:p>
    <w:p w14:paraId="13D7EFF9" w14:textId="733ACAF2" w:rsidR="00622DE7" w:rsidRPr="00D46365" w:rsidRDefault="00622DE7" w:rsidP="00622DE7">
      <w:pPr>
        <w:pStyle w:val="Heading1"/>
        <w:ind w:left="0"/>
        <w:rPr>
          <w:b w:val="0"/>
          <w:bCs w:val="0"/>
        </w:rPr>
      </w:pPr>
      <w:r>
        <w:rPr>
          <w:b w:val="0"/>
          <w:bCs w:val="0"/>
        </w:rPr>
        <w:t>As shown at Table 3. O</w:t>
      </w:r>
      <w:r w:rsidRPr="00D46365">
        <w:rPr>
          <w:b w:val="0"/>
          <w:bCs w:val="0"/>
        </w:rPr>
        <w:t xml:space="preserve">verall, the readiness of CBOs </w:t>
      </w:r>
      <w:r w:rsidR="00A20D41" w:rsidRPr="00D46365">
        <w:rPr>
          <w:b w:val="0"/>
          <w:bCs w:val="0"/>
        </w:rPr>
        <w:t>to</w:t>
      </w:r>
      <w:r w:rsidRPr="00D46365">
        <w:rPr>
          <w:b w:val="0"/>
          <w:bCs w:val="0"/>
        </w:rPr>
        <w:t xml:space="preserve"> improve the iron nutritional an</w:t>
      </w:r>
      <w:r>
        <w:rPr>
          <w:b w:val="0"/>
          <w:bCs w:val="0"/>
        </w:rPr>
        <w:t>a</w:t>
      </w:r>
      <w:r w:rsidRPr="00D46365">
        <w:rPr>
          <w:b w:val="0"/>
          <w:bCs w:val="0"/>
        </w:rPr>
        <w:t xml:space="preserve">emia status of adolescent girls in </w:t>
      </w:r>
      <w:proofErr w:type="spellStart"/>
      <w:r w:rsidRPr="00D46365">
        <w:rPr>
          <w:b w:val="0"/>
          <w:bCs w:val="0"/>
        </w:rPr>
        <w:t>Sirnagalih</w:t>
      </w:r>
      <w:proofErr w:type="spellEnd"/>
      <w:r w:rsidRPr="00D46365">
        <w:rPr>
          <w:b w:val="0"/>
          <w:bCs w:val="0"/>
        </w:rPr>
        <w:t xml:space="preserve"> village is in the first level. At the first level of readiness, the community, in this case the CBO, which consists of cadres and </w:t>
      </w:r>
      <w:proofErr w:type="spellStart"/>
      <w:r w:rsidRPr="00D46365">
        <w:rPr>
          <w:b w:val="0"/>
          <w:bCs w:val="0"/>
        </w:rPr>
        <w:t>ka</w:t>
      </w:r>
      <w:r w:rsidR="00A20D41">
        <w:rPr>
          <w:b w:val="0"/>
          <w:bCs w:val="0"/>
        </w:rPr>
        <w:t>rang</w:t>
      </w:r>
      <w:proofErr w:type="spellEnd"/>
      <w:r w:rsidR="00A20D41">
        <w:rPr>
          <w:b w:val="0"/>
          <w:bCs w:val="0"/>
        </w:rPr>
        <w:t xml:space="preserve"> </w:t>
      </w:r>
      <w:proofErr w:type="spellStart"/>
      <w:r w:rsidRPr="00D46365">
        <w:rPr>
          <w:b w:val="0"/>
          <w:bCs w:val="0"/>
        </w:rPr>
        <w:t>tar</w:t>
      </w:r>
      <w:r w:rsidR="00A20D41">
        <w:rPr>
          <w:b w:val="0"/>
          <w:bCs w:val="0"/>
        </w:rPr>
        <w:t>una</w:t>
      </w:r>
      <w:proofErr w:type="spellEnd"/>
      <w:r w:rsidRPr="00D46365">
        <w:rPr>
          <w:b w:val="0"/>
          <w:bCs w:val="0"/>
        </w:rPr>
        <w:t>, does not recognize the issue of an</w:t>
      </w:r>
      <w:r>
        <w:rPr>
          <w:b w:val="0"/>
          <w:bCs w:val="0"/>
        </w:rPr>
        <w:t>a</w:t>
      </w:r>
      <w:r w:rsidRPr="00D46365">
        <w:rPr>
          <w:b w:val="0"/>
          <w:bCs w:val="0"/>
        </w:rPr>
        <w:t xml:space="preserve">emia in adolescent girls and iron-folate supplementation as problems that arise and must be addressed in </w:t>
      </w:r>
      <w:proofErr w:type="spellStart"/>
      <w:r w:rsidRPr="00D46365">
        <w:rPr>
          <w:b w:val="0"/>
          <w:bCs w:val="0"/>
        </w:rPr>
        <w:t>Sirnagalih</w:t>
      </w:r>
      <w:proofErr w:type="spellEnd"/>
      <w:r w:rsidRPr="00D46365">
        <w:rPr>
          <w:b w:val="0"/>
          <w:bCs w:val="0"/>
        </w:rPr>
        <w:t xml:space="preserve"> village. This is reinforced by the results of interviews with village heads, youth organizations and </w:t>
      </w:r>
      <w:proofErr w:type="spellStart"/>
      <w:r w:rsidRPr="00D46365">
        <w:rPr>
          <w:b w:val="0"/>
          <w:bCs w:val="0"/>
        </w:rPr>
        <w:t>posyandu</w:t>
      </w:r>
      <w:proofErr w:type="spellEnd"/>
      <w:r w:rsidRPr="00D46365">
        <w:rPr>
          <w:b w:val="0"/>
          <w:bCs w:val="0"/>
        </w:rPr>
        <w:t xml:space="preserve"> cadres. All of the key informants stated that so </w:t>
      </w:r>
      <w:proofErr w:type="gramStart"/>
      <w:r w:rsidRPr="00D46365">
        <w:rPr>
          <w:b w:val="0"/>
          <w:bCs w:val="0"/>
        </w:rPr>
        <w:t>far</w:t>
      </w:r>
      <w:proofErr w:type="gramEnd"/>
      <w:r w:rsidRPr="00D46365">
        <w:rPr>
          <w:b w:val="0"/>
          <w:bCs w:val="0"/>
        </w:rPr>
        <w:t xml:space="preserve"> the health problems in adolescents that have arisen are only diseases such as dizziness, fever, and typhoid. So far, the iron-folate supplementation program has only focused on pregnant women, never on young women.</w:t>
      </w:r>
    </w:p>
    <w:p w14:paraId="5BFFB336" w14:textId="77777777" w:rsidR="00F23ACC" w:rsidRDefault="00F23ACC" w:rsidP="004F4794">
      <w:pPr>
        <w:ind w:firstLine="426"/>
        <w:jc w:val="both"/>
        <w:rPr>
          <w:sz w:val="24"/>
          <w:szCs w:val="24"/>
          <w:lang w:val="id-ID"/>
        </w:rPr>
      </w:pPr>
    </w:p>
    <w:p w14:paraId="2B9B1AD9" w14:textId="6301380A" w:rsidR="00DE12DE" w:rsidRPr="00D20A50" w:rsidRDefault="00DE12DE" w:rsidP="00DE12DE">
      <w:pPr>
        <w:rPr>
          <w:b/>
          <w:bCs/>
          <w:sz w:val="24"/>
          <w:szCs w:val="24"/>
        </w:rPr>
      </w:pPr>
      <w:r w:rsidRPr="00D20A50">
        <w:rPr>
          <w:b/>
          <w:bCs/>
          <w:sz w:val="24"/>
          <w:szCs w:val="24"/>
        </w:rPr>
        <w:t xml:space="preserve">Table 3. Readiness Stage </w:t>
      </w:r>
      <w:proofErr w:type="gramStart"/>
      <w:r w:rsidRPr="00D20A50">
        <w:rPr>
          <w:b/>
          <w:bCs/>
          <w:sz w:val="24"/>
          <w:szCs w:val="24"/>
        </w:rPr>
        <w:t>of  CBO</w:t>
      </w:r>
      <w:proofErr w:type="gramEnd"/>
      <w:r w:rsidRPr="00D20A50">
        <w:rPr>
          <w:b/>
          <w:bCs/>
          <w:sz w:val="24"/>
          <w:szCs w:val="24"/>
        </w:rPr>
        <w:t xml:space="preserve"> in Female </w:t>
      </w:r>
      <w:proofErr w:type="spellStart"/>
      <w:r w:rsidRPr="00D20A50">
        <w:rPr>
          <w:b/>
          <w:bCs/>
          <w:sz w:val="24"/>
          <w:szCs w:val="24"/>
        </w:rPr>
        <w:t>Adolescents’Anemia</w:t>
      </w:r>
      <w:proofErr w:type="spellEnd"/>
      <w:r w:rsidRPr="00D20A50">
        <w:rPr>
          <w:b/>
          <w:bCs/>
          <w:sz w:val="24"/>
          <w:szCs w:val="24"/>
        </w:rPr>
        <w:t xml:space="preserve"> Prevention program at </w:t>
      </w:r>
      <w:proofErr w:type="spellStart"/>
      <w:r w:rsidRPr="00D20A50">
        <w:rPr>
          <w:b/>
          <w:bCs/>
          <w:sz w:val="24"/>
          <w:szCs w:val="24"/>
        </w:rPr>
        <w:t>desa</w:t>
      </w:r>
      <w:proofErr w:type="spellEnd"/>
      <w:r w:rsidRPr="00D20A50">
        <w:rPr>
          <w:b/>
          <w:bCs/>
          <w:sz w:val="24"/>
          <w:szCs w:val="24"/>
        </w:rPr>
        <w:t xml:space="preserve"> </w:t>
      </w:r>
      <w:proofErr w:type="spellStart"/>
      <w:r w:rsidRPr="00D20A50">
        <w:rPr>
          <w:b/>
          <w:bCs/>
          <w:sz w:val="24"/>
          <w:szCs w:val="24"/>
        </w:rPr>
        <w:t>Sirnagalih</w:t>
      </w:r>
      <w:proofErr w:type="spellEnd"/>
      <w:r w:rsidRPr="00D20A50">
        <w:rPr>
          <w:b/>
          <w:bCs/>
          <w:sz w:val="24"/>
          <w:szCs w:val="24"/>
        </w:rPr>
        <w:t xml:space="preserve">, Bogor </w:t>
      </w:r>
      <w:proofErr w:type="spellStart"/>
      <w:r w:rsidRPr="00D20A50">
        <w:rPr>
          <w:b/>
          <w:bCs/>
          <w:sz w:val="24"/>
          <w:szCs w:val="24"/>
        </w:rPr>
        <w:t>Jawa</w:t>
      </w:r>
      <w:proofErr w:type="spellEnd"/>
      <w:r w:rsidRPr="00D20A50">
        <w:rPr>
          <w:b/>
          <w:bCs/>
          <w:sz w:val="24"/>
          <w:szCs w:val="24"/>
        </w:rPr>
        <w:t xml:space="preserve"> Barat</w:t>
      </w:r>
    </w:p>
    <w:p w14:paraId="40CFB6B8" w14:textId="77777777" w:rsidR="00DE12DE" w:rsidRPr="009529D6" w:rsidRDefault="00DE12DE" w:rsidP="00DE12DE">
      <w:pPr>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780"/>
      </w:tblGrid>
      <w:tr w:rsidR="00DE12DE" w:rsidRPr="0024188F" w14:paraId="58A99BCA" w14:textId="77777777" w:rsidTr="001F16C7">
        <w:tc>
          <w:tcPr>
            <w:tcW w:w="3601" w:type="dxa"/>
            <w:tcBorders>
              <w:top w:val="single" w:sz="4" w:space="0" w:color="auto"/>
              <w:bottom w:val="single" w:sz="4" w:space="0" w:color="auto"/>
            </w:tcBorders>
          </w:tcPr>
          <w:p w14:paraId="7861CE46" w14:textId="77777777" w:rsidR="00DE12DE" w:rsidRPr="006F719C" w:rsidRDefault="00DE12DE" w:rsidP="00ED423C">
            <w:pPr>
              <w:rPr>
                <w:b/>
                <w:bCs/>
              </w:rPr>
            </w:pPr>
            <w:r w:rsidRPr="006F719C">
              <w:rPr>
                <w:b/>
                <w:bCs/>
              </w:rPr>
              <w:t>Dimension of Readiness</w:t>
            </w:r>
          </w:p>
        </w:tc>
        <w:tc>
          <w:tcPr>
            <w:tcW w:w="780" w:type="dxa"/>
            <w:tcBorders>
              <w:top w:val="single" w:sz="4" w:space="0" w:color="auto"/>
              <w:bottom w:val="single" w:sz="4" w:space="0" w:color="auto"/>
            </w:tcBorders>
          </w:tcPr>
          <w:p w14:paraId="5B33434C" w14:textId="3145EA08" w:rsidR="00DE12DE" w:rsidRPr="006F719C" w:rsidRDefault="00DE12DE" w:rsidP="00ED423C">
            <w:pPr>
              <w:rPr>
                <w:b/>
                <w:bCs/>
              </w:rPr>
            </w:pPr>
            <w:r w:rsidRPr="006F719C">
              <w:rPr>
                <w:b/>
                <w:bCs/>
              </w:rPr>
              <w:t>S</w:t>
            </w:r>
            <w:r w:rsidR="006F719C" w:rsidRPr="006F719C">
              <w:rPr>
                <w:b/>
                <w:bCs/>
              </w:rPr>
              <w:t>tage</w:t>
            </w:r>
          </w:p>
        </w:tc>
      </w:tr>
      <w:tr w:rsidR="00DE12DE" w:rsidRPr="009529D6" w14:paraId="0F76ADCC" w14:textId="77777777" w:rsidTr="001F16C7">
        <w:tc>
          <w:tcPr>
            <w:tcW w:w="3601" w:type="dxa"/>
            <w:tcBorders>
              <w:top w:val="single" w:sz="4" w:space="0" w:color="auto"/>
            </w:tcBorders>
          </w:tcPr>
          <w:p w14:paraId="7DCA84C6" w14:textId="77777777" w:rsidR="00DE12DE" w:rsidRPr="006F719C" w:rsidRDefault="00DE12DE" w:rsidP="00ED423C">
            <w:r w:rsidRPr="006F719C">
              <w:t>CBO Effort</w:t>
            </w:r>
          </w:p>
        </w:tc>
        <w:tc>
          <w:tcPr>
            <w:tcW w:w="780" w:type="dxa"/>
            <w:tcBorders>
              <w:top w:val="single" w:sz="4" w:space="0" w:color="auto"/>
            </w:tcBorders>
          </w:tcPr>
          <w:p w14:paraId="5D548B73" w14:textId="1AFA92B5" w:rsidR="00DE12DE" w:rsidRPr="006F719C" w:rsidRDefault="00DE12DE" w:rsidP="00ED423C">
            <w:r w:rsidRPr="006F719C">
              <w:t>1</w:t>
            </w:r>
            <w:r w:rsidR="00BF1D25">
              <w:t>.</w:t>
            </w:r>
            <w:r w:rsidRPr="006F719C">
              <w:t>2</w:t>
            </w:r>
          </w:p>
        </w:tc>
      </w:tr>
      <w:tr w:rsidR="00DE12DE" w:rsidRPr="009529D6" w14:paraId="307A3694" w14:textId="77777777" w:rsidTr="001F16C7">
        <w:tc>
          <w:tcPr>
            <w:tcW w:w="3601" w:type="dxa"/>
          </w:tcPr>
          <w:p w14:paraId="5BC9E1AC" w14:textId="77777777" w:rsidR="00DE12DE" w:rsidRPr="006F719C" w:rsidRDefault="00DE12DE" w:rsidP="00ED423C">
            <w:r w:rsidRPr="006F719C">
              <w:t>Leadership</w:t>
            </w:r>
          </w:p>
        </w:tc>
        <w:tc>
          <w:tcPr>
            <w:tcW w:w="780" w:type="dxa"/>
          </w:tcPr>
          <w:p w14:paraId="6AE363D8" w14:textId="1E142423" w:rsidR="00DE12DE" w:rsidRPr="006F719C" w:rsidRDefault="00DE12DE" w:rsidP="00ED423C">
            <w:r w:rsidRPr="006F719C">
              <w:t>1</w:t>
            </w:r>
            <w:r w:rsidR="00BF1D25">
              <w:t>.</w:t>
            </w:r>
            <w:r w:rsidR="008E4197">
              <w:t>5</w:t>
            </w:r>
          </w:p>
        </w:tc>
      </w:tr>
      <w:tr w:rsidR="00DE12DE" w:rsidRPr="009529D6" w14:paraId="2F8D43D0" w14:textId="77777777" w:rsidTr="001F16C7">
        <w:tc>
          <w:tcPr>
            <w:tcW w:w="3601" w:type="dxa"/>
          </w:tcPr>
          <w:p w14:paraId="5B8C8ED3" w14:textId="77777777" w:rsidR="00DE12DE" w:rsidRPr="006F719C" w:rsidRDefault="00DE12DE" w:rsidP="00ED423C">
            <w:r w:rsidRPr="006F719C">
              <w:t>Resources</w:t>
            </w:r>
          </w:p>
        </w:tc>
        <w:tc>
          <w:tcPr>
            <w:tcW w:w="780" w:type="dxa"/>
          </w:tcPr>
          <w:p w14:paraId="3A50244C" w14:textId="73EC0BD5" w:rsidR="00DE12DE" w:rsidRPr="006F719C" w:rsidRDefault="00DE12DE" w:rsidP="00ED423C">
            <w:r w:rsidRPr="006F719C">
              <w:t>1</w:t>
            </w:r>
            <w:r w:rsidR="00BF1D25">
              <w:t>.</w:t>
            </w:r>
            <w:r w:rsidR="008E4197">
              <w:t>3</w:t>
            </w:r>
          </w:p>
        </w:tc>
      </w:tr>
      <w:tr w:rsidR="00DE12DE" w:rsidRPr="009529D6" w14:paraId="5919A5F1" w14:textId="77777777" w:rsidTr="001F16C7">
        <w:tc>
          <w:tcPr>
            <w:tcW w:w="3601" w:type="dxa"/>
          </w:tcPr>
          <w:p w14:paraId="596F51FC" w14:textId="77777777" w:rsidR="00DE12DE" w:rsidRPr="006F719C" w:rsidRDefault="00DE12DE" w:rsidP="00ED423C">
            <w:r w:rsidRPr="006F719C">
              <w:t xml:space="preserve">Awareness of CBO towards Female </w:t>
            </w:r>
            <w:proofErr w:type="spellStart"/>
            <w:r w:rsidRPr="006F719C">
              <w:t>Adolescents’Anemia</w:t>
            </w:r>
            <w:proofErr w:type="spellEnd"/>
            <w:r w:rsidRPr="006F719C">
              <w:t xml:space="preserve"> </w:t>
            </w:r>
          </w:p>
        </w:tc>
        <w:tc>
          <w:tcPr>
            <w:tcW w:w="780" w:type="dxa"/>
          </w:tcPr>
          <w:p w14:paraId="1EA91F12" w14:textId="2AAD1342" w:rsidR="00DE12DE" w:rsidRPr="006F719C" w:rsidRDefault="00DE12DE" w:rsidP="00ED423C">
            <w:r w:rsidRPr="006F719C">
              <w:t>1</w:t>
            </w:r>
            <w:r w:rsidR="00BF1D25">
              <w:t>.</w:t>
            </w:r>
            <w:r w:rsidRPr="006F719C">
              <w:t>4</w:t>
            </w:r>
          </w:p>
        </w:tc>
      </w:tr>
      <w:tr w:rsidR="00DE12DE" w:rsidRPr="009529D6" w14:paraId="16CBD05E" w14:textId="77777777" w:rsidTr="001F16C7">
        <w:tc>
          <w:tcPr>
            <w:tcW w:w="3601" w:type="dxa"/>
          </w:tcPr>
          <w:p w14:paraId="47FFF56D" w14:textId="77777777" w:rsidR="00DE12DE" w:rsidRPr="006F719C" w:rsidRDefault="00DE12DE" w:rsidP="00ED423C">
            <w:r w:rsidRPr="006F719C">
              <w:t xml:space="preserve">Community climate </w:t>
            </w:r>
          </w:p>
        </w:tc>
        <w:tc>
          <w:tcPr>
            <w:tcW w:w="780" w:type="dxa"/>
          </w:tcPr>
          <w:p w14:paraId="41773F7F" w14:textId="44D2C0DA" w:rsidR="00DE12DE" w:rsidRPr="006F719C" w:rsidRDefault="00DE12DE" w:rsidP="00ED423C">
            <w:r w:rsidRPr="006F719C">
              <w:t>1</w:t>
            </w:r>
            <w:r w:rsidR="00BF1D25">
              <w:t>.</w:t>
            </w:r>
            <w:r w:rsidRPr="006F719C">
              <w:t>4</w:t>
            </w:r>
          </w:p>
        </w:tc>
      </w:tr>
      <w:tr w:rsidR="00DE12DE" w:rsidRPr="009529D6" w14:paraId="0169034F" w14:textId="77777777" w:rsidTr="001F16C7">
        <w:tc>
          <w:tcPr>
            <w:tcW w:w="3601" w:type="dxa"/>
          </w:tcPr>
          <w:p w14:paraId="240568D6" w14:textId="5509FAF8" w:rsidR="00DE12DE" w:rsidRPr="006F719C" w:rsidRDefault="006F719C" w:rsidP="00ED423C">
            <w:r w:rsidRPr="006F719C">
              <w:t xml:space="preserve">Mean of CBO </w:t>
            </w:r>
            <w:r w:rsidR="00DE12DE" w:rsidRPr="006F719C">
              <w:t xml:space="preserve">readiness </w:t>
            </w:r>
            <w:r w:rsidRPr="006F719C">
              <w:t>stage</w:t>
            </w:r>
            <w:r w:rsidR="00DE12DE" w:rsidRPr="006F719C">
              <w:t xml:space="preserve"> towards </w:t>
            </w:r>
            <w:r w:rsidRPr="006F719C">
              <w:t>f</w:t>
            </w:r>
            <w:r w:rsidR="00DE12DE" w:rsidRPr="006F719C">
              <w:t>emale</w:t>
            </w:r>
            <w:r w:rsidRPr="006F719C">
              <w:t xml:space="preserve"> </w:t>
            </w:r>
            <w:proofErr w:type="spellStart"/>
            <w:proofErr w:type="gramStart"/>
            <w:r w:rsidRPr="006F719C">
              <w:t>a</w:t>
            </w:r>
            <w:r w:rsidR="00DE12DE" w:rsidRPr="006F719C">
              <w:t>dolescents’</w:t>
            </w:r>
            <w:r w:rsidRPr="006F719C">
              <w:t>a</w:t>
            </w:r>
            <w:r w:rsidR="00DE12DE" w:rsidRPr="006F719C">
              <w:t>nemia</w:t>
            </w:r>
            <w:proofErr w:type="spellEnd"/>
            <w:r w:rsidR="00DE12DE" w:rsidRPr="006F719C">
              <w:t xml:space="preserve">  program</w:t>
            </w:r>
            <w:proofErr w:type="gramEnd"/>
          </w:p>
        </w:tc>
        <w:tc>
          <w:tcPr>
            <w:tcW w:w="780" w:type="dxa"/>
          </w:tcPr>
          <w:p w14:paraId="7E93A68A" w14:textId="1F06CB01" w:rsidR="00DE12DE" w:rsidRPr="006F719C" w:rsidRDefault="00DE12DE" w:rsidP="00ED423C">
            <w:r w:rsidRPr="006F719C">
              <w:t>1</w:t>
            </w:r>
            <w:r w:rsidR="00BF1D25">
              <w:t>.</w:t>
            </w:r>
            <w:r w:rsidR="00D11BB8">
              <w:t>4</w:t>
            </w:r>
          </w:p>
        </w:tc>
      </w:tr>
    </w:tbl>
    <w:p w14:paraId="524E2D61" w14:textId="77777777" w:rsidR="00D46365" w:rsidRDefault="00D46365">
      <w:pPr>
        <w:pStyle w:val="Heading1"/>
        <w:ind w:left="0"/>
        <w:rPr>
          <w:b w:val="0"/>
          <w:bCs w:val="0"/>
        </w:rPr>
      </w:pPr>
    </w:p>
    <w:p w14:paraId="7C752E39" w14:textId="77777777" w:rsidR="00DE12DE" w:rsidRDefault="00DE12DE">
      <w:pPr>
        <w:pStyle w:val="Heading1"/>
        <w:ind w:left="0"/>
      </w:pPr>
    </w:p>
    <w:p w14:paraId="1502DD2A" w14:textId="77777777" w:rsidR="00AD6F56" w:rsidRDefault="00E5363A">
      <w:pPr>
        <w:pStyle w:val="Heading1"/>
        <w:ind w:left="0"/>
        <w:rPr>
          <w:lang w:val="id-ID"/>
        </w:rPr>
      </w:pPr>
      <w:r>
        <w:t>DISCUSSION</w:t>
      </w:r>
    </w:p>
    <w:p w14:paraId="5A2EEAFF" w14:textId="0061A124" w:rsidR="00E52DEB" w:rsidRDefault="009E01FD" w:rsidP="0001269A">
      <w:pPr>
        <w:pStyle w:val="Heading1"/>
        <w:ind w:left="0" w:firstLine="426"/>
        <w:jc w:val="both"/>
        <w:rPr>
          <w:b w:val="0"/>
          <w:bCs w:val="0"/>
          <w:lang w:val="en-US"/>
        </w:rPr>
      </w:pPr>
      <w:r w:rsidRPr="009E01FD">
        <w:rPr>
          <w:b w:val="0"/>
          <w:bCs w:val="0"/>
          <w:lang w:val="en-US"/>
        </w:rPr>
        <w:t>Efforts to improve the nutritional status of iron folate in adolescent girls through the school-based WIFAS program have been launched by WHO since 2011 to reduce the prevalence of anemia in adolescent girls.</w:t>
      </w:r>
      <w:r w:rsidR="00F440A6" w:rsidRPr="001B243D">
        <w:rPr>
          <w:b w:val="0"/>
          <w:bCs w:val="0"/>
          <w:vertAlign w:val="superscript"/>
          <w:lang w:val="en-US"/>
        </w:rPr>
        <w:fldChar w:fldCharType="begin" w:fldLock="1"/>
      </w:r>
      <w:r w:rsidR="001B243D" w:rsidRPr="001B243D">
        <w:rPr>
          <w:b w:val="0"/>
          <w:bCs w:val="0"/>
          <w:vertAlign w:val="superscript"/>
          <w:lang w:val="en-US"/>
        </w:rPr>
        <w:instrText>ADDIN CSL_CITATION {"citationItems":[{"id":"ITEM-1","itemData":{"DOI":"10.1017/S1368980008002401","ISBN":"9789241596657","ISSN":"1368-9800","PMID":"18498676","abstract":"Anaemia is a public health problem that affects populations in both rich and poor countries. Although the primary cause is iron deficiency, it is seldom present in isolation. More frequently it coexists with a number of other causes, such as malaria, parasitic infection, nutritional deficiencies, and haemoglobinopathies.","author":[{"dropping-particle":"","family":"World Health Organization","given":"","non-dropping-particle":"","parse-names":false,"suffix":""}],"container-title":"WHO Report","id":"ITEM-1","issued":{"date-parts":[["2015"]]},"page":"48","title":"the Global Prevalence of Anaemia in 2011","type":"article-journal"},"uris":["http://www.mendeley.com/documents/?uuid=8bb4be00-0ffb-43d9-ab70-3b622534a91d"]}],"mendeley":{"formattedCitation":"(4)","manualFormatting":"4","plainTextFormattedCitation":"(4)","previouslyFormattedCitation":"(4)"},"properties":{"noteIndex":0},"schema":"https://github.com/citation-style-language/schema/raw/master/csl-citation.json"}</w:instrText>
      </w:r>
      <w:r w:rsidR="00F440A6" w:rsidRPr="001B243D">
        <w:rPr>
          <w:b w:val="0"/>
          <w:bCs w:val="0"/>
          <w:vertAlign w:val="superscript"/>
          <w:lang w:val="en-US"/>
        </w:rPr>
        <w:fldChar w:fldCharType="separate"/>
      </w:r>
      <w:r w:rsidR="00F440A6" w:rsidRPr="001B243D">
        <w:rPr>
          <w:b w:val="0"/>
          <w:bCs w:val="0"/>
          <w:noProof/>
          <w:vertAlign w:val="superscript"/>
          <w:lang w:val="en-US"/>
        </w:rPr>
        <w:t>4</w:t>
      </w:r>
      <w:r w:rsidR="00F440A6" w:rsidRPr="001B243D">
        <w:rPr>
          <w:b w:val="0"/>
          <w:bCs w:val="0"/>
          <w:vertAlign w:val="superscript"/>
          <w:lang w:val="en-US"/>
        </w:rPr>
        <w:fldChar w:fldCharType="end"/>
      </w:r>
      <w:r w:rsidR="00F440A6" w:rsidRPr="00F440A6">
        <w:rPr>
          <w:b w:val="0"/>
          <w:bCs w:val="0"/>
          <w:lang w:val="en-US"/>
        </w:rPr>
        <w:t xml:space="preserve"> The WIFAS program is one of the specific programs to reduce stunting cases.</w:t>
      </w:r>
      <w:r w:rsidR="00586131" w:rsidRPr="001B243D">
        <w:rPr>
          <w:b w:val="0"/>
          <w:bCs w:val="0"/>
          <w:vertAlign w:val="superscript"/>
          <w:lang w:val="en-US"/>
        </w:rPr>
        <w:fldChar w:fldCharType="begin" w:fldLock="1"/>
      </w:r>
      <w:r w:rsidR="001B243D" w:rsidRPr="001B243D">
        <w:rPr>
          <w:b w:val="0"/>
          <w:bCs w:val="0"/>
          <w:vertAlign w:val="superscript"/>
          <w:lang w:val="en-US"/>
        </w:rPr>
        <w:instrText>ADDIN CSL_CITATION {"citationItems":[{"id":"ITEM-1","itemData":{"DOI":"10.1111/mcn.12255","ISSN":"17408709","PMID":"27187909","abstract":"The implications of direct nutrition interventions on women's nutrition, birth outcome and stunting rates in children in South Asia are indisputable and well documented. In the last decade, a number of studies present evidence of the role of non-nutritional factors impacting on women's nutrition, birth outcome, caring practices and nutritional status of children. The implications of various dimensions of women's empowerment and gender inequality on child stunting is being increasingly recognised. Evidence reveals the crucial role of early age of marriage and conception, poor secondary education, domestic violence, inadequate decision-making power, poor control over resources, strenuous agriculture activities, and increasing employment of women and of interventions such as cash transfer scheme and microfinance programme on undernutrition in children. Analysis of the nutrition situation of women and children in South Asia and programme findings emphasise the significance of reaching women during adolescence, pre-conception and pregnancy stage. Ensuring women enter pregnancy with adequate height and weight and free from being anemic is crucial. Combining nutrition-specific interventions with measures for empowerment of women is essential. Improvement in dietary intake and health services of women, prevention of early age marriage and conception, completion of secondary education, enhancement in purchasing power of women, reduction of work drudgery and elimination of domestic violence deserve special attention. A range of programme platforms dealing with health, education and empowerment of women could be strategically used for effectively reaching women prior to and during pregnancy to accelerate reduction in stunting rates in children in South Asia.","author":[{"dropping-particle":"","family":"Vir","given":"Sheila C.","non-dropping-particle":"","parse-names":false,"suffix":""}],"container-title":"Maternal and Child Nutrition","id":"ITEM-1","issued":{"date-parts":[["2016"]]},"page":"72-90","title":"Improving women's nutrition imperative for rapid reduction of childhood stunting in South Asia: Coupling of nutrition specific interventions with nutrition sensitive measures essential","type":"article-journal","volume":"12"},"uris":["http://www.mendeley.com/documents/?uuid=d5dbefc1-61fb-44d6-8d9c-a229f11b0e87"]}],"mendeley":{"formattedCitation":"(14)","manualFormatting":"14","plainTextFormattedCitation":"(14)","previouslyFormattedCitation":"(14)"},"properties":{"noteIndex":0},"schema":"https://github.com/citation-style-language/schema/raw/master/csl-citation.json"}</w:instrText>
      </w:r>
      <w:r w:rsidR="00586131" w:rsidRPr="001B243D">
        <w:rPr>
          <w:b w:val="0"/>
          <w:bCs w:val="0"/>
          <w:vertAlign w:val="superscript"/>
          <w:lang w:val="en-US"/>
        </w:rPr>
        <w:fldChar w:fldCharType="separate"/>
      </w:r>
      <w:r w:rsidR="00586131" w:rsidRPr="001B243D">
        <w:rPr>
          <w:b w:val="0"/>
          <w:bCs w:val="0"/>
          <w:noProof/>
          <w:vertAlign w:val="superscript"/>
          <w:lang w:val="en-US"/>
        </w:rPr>
        <w:t>14</w:t>
      </w:r>
      <w:r w:rsidR="00586131" w:rsidRPr="001B243D">
        <w:rPr>
          <w:b w:val="0"/>
          <w:bCs w:val="0"/>
          <w:vertAlign w:val="superscript"/>
          <w:lang w:val="en-US"/>
        </w:rPr>
        <w:fldChar w:fldCharType="end"/>
      </w:r>
      <w:r w:rsidR="008725A2" w:rsidRPr="008725A2">
        <w:t xml:space="preserve"> </w:t>
      </w:r>
      <w:r w:rsidR="008725A2" w:rsidRPr="008725A2">
        <w:rPr>
          <w:b w:val="0"/>
          <w:bCs w:val="0"/>
          <w:lang w:val="en-US"/>
        </w:rPr>
        <w:t xml:space="preserve">since the pandemic, the school based </w:t>
      </w:r>
      <w:r w:rsidR="00E52DEB">
        <w:rPr>
          <w:b w:val="0"/>
          <w:bCs w:val="0"/>
          <w:lang w:val="en-US"/>
        </w:rPr>
        <w:t xml:space="preserve">WIFAS </w:t>
      </w:r>
      <w:r w:rsidR="008725A2" w:rsidRPr="008725A2">
        <w:rPr>
          <w:b w:val="0"/>
          <w:bCs w:val="0"/>
          <w:lang w:val="en-US"/>
        </w:rPr>
        <w:t>program has been hampered</w:t>
      </w:r>
      <w:r w:rsidR="00E52DEB">
        <w:rPr>
          <w:b w:val="0"/>
          <w:bCs w:val="0"/>
          <w:lang w:val="en-US"/>
        </w:rPr>
        <w:t xml:space="preserve">. </w:t>
      </w:r>
      <w:r w:rsidR="001D4323">
        <w:rPr>
          <w:b w:val="0"/>
          <w:bCs w:val="0"/>
          <w:lang w:val="en-US"/>
        </w:rPr>
        <w:t>Therefore,</w:t>
      </w:r>
      <w:r w:rsidR="00E52DEB">
        <w:rPr>
          <w:b w:val="0"/>
          <w:bCs w:val="0"/>
          <w:lang w:val="en-US"/>
        </w:rPr>
        <w:t xml:space="preserve"> </w:t>
      </w:r>
      <w:r w:rsidR="00E52DEB" w:rsidRPr="00E52DEB">
        <w:rPr>
          <w:b w:val="0"/>
          <w:bCs w:val="0"/>
          <w:lang w:val="en-US"/>
        </w:rPr>
        <w:t>it is necessary to innovate new breakthroughs so that the program can run well</w:t>
      </w:r>
      <w:r w:rsidR="00E52DEB">
        <w:rPr>
          <w:b w:val="0"/>
          <w:bCs w:val="0"/>
          <w:lang w:val="en-US"/>
        </w:rPr>
        <w:t xml:space="preserve">. </w:t>
      </w:r>
    </w:p>
    <w:p w14:paraId="2897ADFD" w14:textId="34EF5834" w:rsidR="008725A2" w:rsidRDefault="008725A2" w:rsidP="0001269A">
      <w:pPr>
        <w:pStyle w:val="Heading1"/>
        <w:ind w:left="0" w:firstLine="426"/>
        <w:jc w:val="both"/>
        <w:rPr>
          <w:b w:val="0"/>
          <w:bCs w:val="0"/>
          <w:lang w:val="en-US"/>
        </w:rPr>
      </w:pPr>
      <w:r w:rsidRPr="008725A2">
        <w:rPr>
          <w:b w:val="0"/>
          <w:bCs w:val="0"/>
          <w:lang w:val="en-US"/>
        </w:rPr>
        <w:t xml:space="preserve">Based on 2018 </w:t>
      </w:r>
      <w:proofErr w:type="spellStart"/>
      <w:r w:rsidRPr="008725A2">
        <w:rPr>
          <w:b w:val="0"/>
          <w:bCs w:val="0"/>
          <w:lang w:val="en-US"/>
        </w:rPr>
        <w:t>Riskesdas</w:t>
      </w:r>
      <w:proofErr w:type="spellEnd"/>
      <w:r w:rsidRPr="008725A2">
        <w:rPr>
          <w:b w:val="0"/>
          <w:bCs w:val="0"/>
          <w:lang w:val="en-US"/>
        </w:rPr>
        <w:t xml:space="preserve"> data, the prevalence of anemia in adolescent girls is 25% greater in rural areas than in urban areas.</w:t>
      </w:r>
      <w:r w:rsidRPr="001B243D">
        <w:rPr>
          <w:b w:val="0"/>
          <w:bCs w:val="0"/>
          <w:vertAlign w:val="superscript"/>
          <w:lang w:val="en-US"/>
        </w:rPr>
        <w:fldChar w:fldCharType="begin" w:fldLock="1"/>
      </w:r>
      <w:r w:rsidR="001B243D" w:rsidRPr="001B243D">
        <w:rPr>
          <w:b w:val="0"/>
          <w:bCs w:val="0"/>
          <w:vertAlign w:val="superscript"/>
          <w:lang w:val="en-US"/>
        </w:rPr>
        <w:instrText>ADDIN CSL_CITATION {"citationItems":[{"id":"ITEM-1","itemData":{"author":[{"dropping-particle":"","family":"Ministry of Health RI;Kementerian Kesehatan RI Badan Penelitian dan Pengembangan Kesehatan","given":"","non-dropping-particle":"","parse-names":false,"suffix":""}],"id":"ITEM-1","issued":{"date-parts":[["2019"]]},"number-of-pages":"614","publisher-place":"Jakarta","title":"Laporan Nasional RISKESDAS 2018","type":"report"},"uris":["http://www.mendeley.com/documents/?uuid=6472074a-58ea-46d4-93f3-1f0367b1d31b"]}],"mendeley":{"formattedCitation":"(8)","manualFormatting":"8","plainTextFormattedCitation":"(8)","previouslyFormattedCitation":"(8)"},"properties":{"noteIndex":0},"schema":"https://github.com/citation-style-language/schema/raw/master/csl-citation.json"}</w:instrText>
      </w:r>
      <w:r w:rsidRPr="001B243D">
        <w:rPr>
          <w:b w:val="0"/>
          <w:bCs w:val="0"/>
          <w:vertAlign w:val="superscript"/>
          <w:lang w:val="en-US"/>
        </w:rPr>
        <w:fldChar w:fldCharType="separate"/>
      </w:r>
      <w:r w:rsidRPr="001B243D">
        <w:rPr>
          <w:b w:val="0"/>
          <w:bCs w:val="0"/>
          <w:noProof/>
          <w:vertAlign w:val="superscript"/>
          <w:lang w:val="en-US"/>
        </w:rPr>
        <w:t>8</w:t>
      </w:r>
      <w:r w:rsidRPr="001B243D">
        <w:rPr>
          <w:b w:val="0"/>
          <w:bCs w:val="0"/>
          <w:vertAlign w:val="superscript"/>
          <w:lang w:val="en-US"/>
        </w:rPr>
        <w:fldChar w:fldCharType="end"/>
      </w:r>
      <w:r w:rsidR="00E52DEB" w:rsidRPr="00E52DEB">
        <w:rPr>
          <w:b w:val="0"/>
          <w:bCs w:val="0"/>
          <w:lang w:val="en-US"/>
        </w:rPr>
        <w:t xml:space="preserve"> </w:t>
      </w:r>
      <w:proofErr w:type="spellStart"/>
      <w:r w:rsidR="00E52DEB" w:rsidRPr="00835419">
        <w:rPr>
          <w:b w:val="0"/>
          <w:bCs w:val="0"/>
          <w:lang w:val="en-US"/>
        </w:rPr>
        <w:t>Sirnagalih</w:t>
      </w:r>
      <w:proofErr w:type="spellEnd"/>
      <w:r w:rsidR="00E52DEB" w:rsidRPr="00835419">
        <w:rPr>
          <w:b w:val="0"/>
          <w:bCs w:val="0"/>
          <w:lang w:val="en-US"/>
        </w:rPr>
        <w:t xml:space="preserve"> </w:t>
      </w:r>
      <w:proofErr w:type="spellStart"/>
      <w:r w:rsidR="00E52DEB" w:rsidRPr="00835419">
        <w:rPr>
          <w:b w:val="0"/>
          <w:bCs w:val="0"/>
          <w:lang w:val="en-US"/>
        </w:rPr>
        <w:t>Jonggol</w:t>
      </w:r>
      <w:proofErr w:type="spellEnd"/>
      <w:r w:rsidR="00E52DEB" w:rsidRPr="00835419">
        <w:rPr>
          <w:b w:val="0"/>
          <w:bCs w:val="0"/>
          <w:lang w:val="en-US"/>
        </w:rPr>
        <w:t xml:space="preserve"> Village, Bogor, one of the villages in the province of West Java. The </w:t>
      </w:r>
      <w:r w:rsidR="00E52DEB">
        <w:rPr>
          <w:b w:val="0"/>
          <w:bCs w:val="0"/>
          <w:lang w:val="en-US"/>
        </w:rPr>
        <w:t xml:space="preserve">IFAS </w:t>
      </w:r>
      <w:r w:rsidR="00E52DEB" w:rsidRPr="00835419">
        <w:rPr>
          <w:b w:val="0"/>
          <w:bCs w:val="0"/>
          <w:lang w:val="en-US"/>
        </w:rPr>
        <w:t>acquisition rate for adolescent girls in the province of West Java is only 16.4%, still below the national figure (22.9%).</w:t>
      </w:r>
      <w:r w:rsidR="00E52DEB" w:rsidRPr="001B243D">
        <w:rPr>
          <w:b w:val="0"/>
          <w:bCs w:val="0"/>
          <w:vertAlign w:val="superscript"/>
          <w:lang w:val="en-US"/>
        </w:rPr>
        <w:fldChar w:fldCharType="begin" w:fldLock="1"/>
      </w:r>
      <w:r w:rsidR="00E52DEB" w:rsidRPr="001B243D">
        <w:rPr>
          <w:b w:val="0"/>
          <w:bCs w:val="0"/>
          <w:vertAlign w:val="superscript"/>
          <w:lang w:val="en-US"/>
        </w:rPr>
        <w:instrText>ADDIN CSL_CITATION {"citationItems":[{"id":"ITEM-1","itemData":{"author":[{"dropping-particle":"","family":"Ministry of Health RI;Kementerian Kesehatan RI Badan Penelitian dan Pengembangan Kesehatan","given":"","non-dropping-particle":"","parse-names":false,"suffix":""}],"id":"ITEM-1","issued":{"date-parts":[["2019"]]},"number-of-pages":"614","publisher-place":"Jakarta","title":"Laporan Nasional RISKESDAS 2018","type":"report"},"uris":["http://www.mendeley.com/documents/?uuid=6472074a-58ea-46d4-93f3-1f0367b1d31b"]}],"mendeley":{"formattedCitation":"(8)","plainTextFormattedCitation":"(8)","previouslyFormattedCitation":"(8)"},"properties":{"noteIndex":0},"schema":"https://github.com/citation-style-language/schema/raw/master/csl-citation.json"}</w:instrText>
      </w:r>
      <w:r w:rsidR="00E52DEB" w:rsidRPr="001B243D">
        <w:rPr>
          <w:b w:val="0"/>
          <w:bCs w:val="0"/>
          <w:vertAlign w:val="superscript"/>
          <w:lang w:val="en-US"/>
        </w:rPr>
        <w:fldChar w:fldCharType="separate"/>
      </w:r>
      <w:r w:rsidR="00E52DEB" w:rsidRPr="001B243D">
        <w:rPr>
          <w:b w:val="0"/>
          <w:bCs w:val="0"/>
          <w:noProof/>
          <w:vertAlign w:val="superscript"/>
          <w:lang w:val="en-US"/>
        </w:rPr>
        <w:t>8</w:t>
      </w:r>
      <w:r w:rsidR="00E52DEB" w:rsidRPr="001B243D">
        <w:rPr>
          <w:b w:val="0"/>
          <w:bCs w:val="0"/>
          <w:vertAlign w:val="superscript"/>
          <w:lang w:val="en-US"/>
        </w:rPr>
        <w:fldChar w:fldCharType="end"/>
      </w:r>
      <w:r w:rsidR="00E52DEB" w:rsidRPr="00835419">
        <w:rPr>
          <w:b w:val="0"/>
          <w:bCs w:val="0"/>
          <w:lang w:val="en-US"/>
        </w:rPr>
        <w:t xml:space="preserve"> This is still far from the target of the Ministry of Health</w:t>
      </w:r>
      <w:r w:rsidR="00E52DEB">
        <w:rPr>
          <w:b w:val="0"/>
          <w:bCs w:val="0"/>
          <w:lang w:val="en-US"/>
        </w:rPr>
        <w:t xml:space="preserve"> RI</w:t>
      </w:r>
      <w:r w:rsidR="00E52DEB" w:rsidRPr="00835419">
        <w:rPr>
          <w:b w:val="0"/>
          <w:bCs w:val="0"/>
          <w:lang w:val="en-US"/>
        </w:rPr>
        <w:t xml:space="preserve"> which targets as many as 30% of young women to get IFA</w:t>
      </w:r>
      <w:r w:rsidR="00E52DEB">
        <w:rPr>
          <w:b w:val="0"/>
          <w:bCs w:val="0"/>
          <w:lang w:val="en-US"/>
        </w:rPr>
        <w:t>S</w:t>
      </w:r>
      <w:r w:rsidR="001B243D">
        <w:rPr>
          <w:b w:val="0"/>
          <w:bCs w:val="0"/>
          <w:lang w:val="en-US"/>
        </w:rPr>
        <w:t>.</w:t>
      </w:r>
      <w:r w:rsidR="00E52DEB" w:rsidRPr="001B243D">
        <w:rPr>
          <w:b w:val="0"/>
          <w:bCs w:val="0"/>
          <w:vertAlign w:val="superscript"/>
          <w:lang w:val="en-US"/>
        </w:rPr>
        <w:fldChar w:fldCharType="begin" w:fldLock="1"/>
      </w:r>
      <w:r w:rsidR="00740891" w:rsidRPr="001B243D">
        <w:rPr>
          <w:b w:val="0"/>
          <w:bCs w:val="0"/>
          <w:vertAlign w:val="superscript"/>
          <w:lang w:val="en-US"/>
        </w:rPr>
        <w:instrText>ADDIN CSL_CITATION {"citationItems":[{"id":"ITEM-1","itemData":{"DOI":"351.077 Ind r","ISBN":"1958040219861","ISSN":"1462-2920","PMID":"18793311","author":[{"dropping-particle":"","family":"KemenKes RI","given":"","non-dropping-particle":"","parse-names":false,"suffix":""}],"id":"ITEM-1","issued":{"date-parts":[["2014"]]},"number":"HK.02.02/MENKES/52/2015","number-of-pages":"1-228","publisher-place":"INDONESIA","title":"Rencana Strategis Kementrian Kesehatan Tahun 2105-2019","type":"report"},"uris":["http://www.mendeley.com/documents/?uuid=100e7c8b-9e2a-4d7d-b52e-37815d258004"]}],"mendeley":{"formattedCitation":"(15)","plainTextFormattedCitation":"(15)","previouslyFormattedCitation":"(15)"},"properties":{"noteIndex":0},"schema":"https://github.com/citation-style-language/schema/raw/master/csl-citation.json"}</w:instrText>
      </w:r>
      <w:r w:rsidR="00E52DEB" w:rsidRPr="001B243D">
        <w:rPr>
          <w:b w:val="0"/>
          <w:bCs w:val="0"/>
          <w:vertAlign w:val="superscript"/>
          <w:lang w:val="en-US"/>
        </w:rPr>
        <w:fldChar w:fldCharType="separate"/>
      </w:r>
      <w:r w:rsidR="00E52DEB" w:rsidRPr="001B243D">
        <w:rPr>
          <w:b w:val="0"/>
          <w:bCs w:val="0"/>
          <w:noProof/>
          <w:vertAlign w:val="superscript"/>
          <w:lang w:val="en-US"/>
        </w:rPr>
        <w:t>15</w:t>
      </w:r>
      <w:r w:rsidR="00E52DEB" w:rsidRPr="001B243D">
        <w:rPr>
          <w:b w:val="0"/>
          <w:bCs w:val="0"/>
          <w:vertAlign w:val="superscript"/>
          <w:lang w:val="en-US"/>
        </w:rPr>
        <w:fldChar w:fldCharType="end"/>
      </w:r>
      <w:r w:rsidRPr="008725A2">
        <w:rPr>
          <w:b w:val="0"/>
          <w:bCs w:val="0"/>
          <w:lang w:val="en-US"/>
        </w:rPr>
        <w:t xml:space="preserve"> Therefore, collaborative efforts with CBOs in rural areas can be a breakthrough for alternative school-based </w:t>
      </w:r>
      <w:r w:rsidR="00715F9A">
        <w:rPr>
          <w:b w:val="0"/>
          <w:bCs w:val="0"/>
          <w:lang w:val="en-US"/>
        </w:rPr>
        <w:t>WIFAS</w:t>
      </w:r>
      <w:r w:rsidRPr="008725A2">
        <w:rPr>
          <w:b w:val="0"/>
          <w:bCs w:val="0"/>
          <w:lang w:val="en-US"/>
        </w:rPr>
        <w:t xml:space="preserve"> programs</w:t>
      </w:r>
      <w:r w:rsidR="00426BCE">
        <w:rPr>
          <w:b w:val="0"/>
          <w:bCs w:val="0"/>
          <w:lang w:val="en-US"/>
        </w:rPr>
        <w:t xml:space="preserve"> and could be the one effort to achieve those target.</w:t>
      </w:r>
    </w:p>
    <w:p w14:paraId="42C99B13" w14:textId="3CE2558C" w:rsidR="00D06988" w:rsidRDefault="00D06988" w:rsidP="0001269A">
      <w:pPr>
        <w:pStyle w:val="Heading1"/>
        <w:ind w:left="0" w:firstLine="426"/>
        <w:jc w:val="both"/>
        <w:rPr>
          <w:b w:val="0"/>
          <w:bCs w:val="0"/>
          <w:lang w:val="en-US"/>
        </w:rPr>
      </w:pPr>
      <w:r w:rsidRPr="00D06988">
        <w:rPr>
          <w:b w:val="0"/>
          <w:bCs w:val="0"/>
          <w:lang w:val="en-US"/>
        </w:rPr>
        <w:t xml:space="preserve">Information from the head of the youth organization and nutrition management staff of the </w:t>
      </w:r>
      <w:proofErr w:type="spellStart"/>
      <w:r w:rsidRPr="00D06988">
        <w:rPr>
          <w:b w:val="0"/>
          <w:bCs w:val="0"/>
          <w:lang w:val="en-US"/>
        </w:rPr>
        <w:t>Balekambang</w:t>
      </w:r>
      <w:proofErr w:type="spellEnd"/>
      <w:r w:rsidRPr="00D06988">
        <w:rPr>
          <w:b w:val="0"/>
          <w:bCs w:val="0"/>
          <w:lang w:val="en-US"/>
        </w:rPr>
        <w:t xml:space="preserve"> Public Health Center, </w:t>
      </w:r>
      <w:r>
        <w:rPr>
          <w:b w:val="0"/>
          <w:bCs w:val="0"/>
          <w:lang w:val="en-US"/>
        </w:rPr>
        <w:t>thus</w:t>
      </w:r>
      <w:r w:rsidRPr="00D06988">
        <w:rPr>
          <w:b w:val="0"/>
          <w:bCs w:val="0"/>
          <w:lang w:val="en-US"/>
        </w:rPr>
        <w:t xml:space="preserve"> far no effort has been made to involve youth organizations to collaborate in health programs, including the WIFAS program.</w:t>
      </w:r>
      <w:r>
        <w:rPr>
          <w:b w:val="0"/>
          <w:bCs w:val="0"/>
          <w:lang w:val="en-US"/>
        </w:rPr>
        <w:t xml:space="preserve"> </w:t>
      </w:r>
      <w:r w:rsidRPr="00D06988">
        <w:rPr>
          <w:b w:val="0"/>
          <w:bCs w:val="0"/>
          <w:lang w:val="en-US"/>
        </w:rPr>
        <w:t>However, they agree and welcome this innovation.</w:t>
      </w:r>
      <w:r w:rsidR="00740891">
        <w:rPr>
          <w:b w:val="0"/>
          <w:bCs w:val="0"/>
          <w:lang w:val="en-US"/>
        </w:rPr>
        <w:t xml:space="preserve"> </w:t>
      </w:r>
      <w:r w:rsidR="006B569E" w:rsidRPr="006B569E">
        <w:rPr>
          <w:b w:val="0"/>
          <w:bCs w:val="0"/>
          <w:lang w:val="en-US"/>
        </w:rPr>
        <w:t xml:space="preserve">Many of members of </w:t>
      </w:r>
      <w:proofErr w:type="gramStart"/>
      <w:r w:rsidR="006B569E" w:rsidRPr="006B569E">
        <w:rPr>
          <w:b w:val="0"/>
          <w:bCs w:val="0"/>
          <w:lang w:val="en-US"/>
        </w:rPr>
        <w:t xml:space="preserve">the </w:t>
      </w:r>
      <w:r w:rsidR="0099699B">
        <w:rPr>
          <w:b w:val="0"/>
          <w:bCs w:val="0"/>
          <w:lang w:val="en-US"/>
        </w:rPr>
        <w:t xml:space="preserve"> </w:t>
      </w:r>
      <w:proofErr w:type="spellStart"/>
      <w:r w:rsidR="006B569E" w:rsidRPr="006B569E">
        <w:rPr>
          <w:b w:val="0"/>
          <w:bCs w:val="0"/>
          <w:lang w:val="en-US"/>
        </w:rPr>
        <w:t>Sirnagalih</w:t>
      </w:r>
      <w:proofErr w:type="spellEnd"/>
      <w:proofErr w:type="gramEnd"/>
      <w:r w:rsidR="006B569E" w:rsidRPr="006B569E">
        <w:rPr>
          <w:b w:val="0"/>
          <w:bCs w:val="0"/>
          <w:lang w:val="en-US"/>
        </w:rPr>
        <w:t xml:space="preserve"> Village</w:t>
      </w:r>
      <w:r w:rsidR="0099699B">
        <w:rPr>
          <w:b w:val="0"/>
          <w:bCs w:val="0"/>
          <w:lang w:val="en-US"/>
        </w:rPr>
        <w:t xml:space="preserve">’s </w:t>
      </w:r>
      <w:proofErr w:type="spellStart"/>
      <w:r w:rsidR="0099699B">
        <w:rPr>
          <w:b w:val="0"/>
          <w:bCs w:val="0"/>
          <w:lang w:val="en-US"/>
        </w:rPr>
        <w:t>karang</w:t>
      </w:r>
      <w:proofErr w:type="spellEnd"/>
      <w:r w:rsidR="0099699B">
        <w:rPr>
          <w:b w:val="0"/>
          <w:bCs w:val="0"/>
          <w:lang w:val="en-US"/>
        </w:rPr>
        <w:t xml:space="preserve"> </w:t>
      </w:r>
      <w:proofErr w:type="spellStart"/>
      <w:r w:rsidR="0099699B">
        <w:rPr>
          <w:b w:val="0"/>
          <w:bCs w:val="0"/>
          <w:lang w:val="en-US"/>
        </w:rPr>
        <w:t>taruna</w:t>
      </w:r>
      <w:proofErr w:type="spellEnd"/>
      <w:r w:rsidR="006B569E" w:rsidRPr="006B569E">
        <w:rPr>
          <w:b w:val="0"/>
          <w:bCs w:val="0"/>
          <w:lang w:val="en-US"/>
        </w:rPr>
        <w:t xml:space="preserve"> work in cities outside the </w:t>
      </w:r>
      <w:proofErr w:type="spellStart"/>
      <w:r w:rsidR="006B569E" w:rsidRPr="006B569E">
        <w:rPr>
          <w:b w:val="0"/>
          <w:bCs w:val="0"/>
          <w:lang w:val="en-US"/>
        </w:rPr>
        <w:t>Sirnagalih</w:t>
      </w:r>
      <w:proofErr w:type="spellEnd"/>
      <w:r w:rsidR="006B569E" w:rsidRPr="006B569E">
        <w:rPr>
          <w:b w:val="0"/>
          <w:bCs w:val="0"/>
          <w:lang w:val="en-US"/>
        </w:rPr>
        <w:t xml:space="preserve"> Village such as in Jakarta, Bandung and its surroundings. This causes </w:t>
      </w:r>
      <w:proofErr w:type="spellStart"/>
      <w:r w:rsidR="00922A86">
        <w:rPr>
          <w:b w:val="0"/>
          <w:bCs w:val="0"/>
          <w:lang w:val="en-US"/>
        </w:rPr>
        <w:t>Katar</w:t>
      </w:r>
      <w:proofErr w:type="spellEnd"/>
      <w:r w:rsidR="00922A86">
        <w:rPr>
          <w:b w:val="0"/>
          <w:bCs w:val="0"/>
          <w:lang w:val="en-US"/>
        </w:rPr>
        <w:t xml:space="preserve"> members</w:t>
      </w:r>
      <w:r w:rsidR="006B569E" w:rsidRPr="006B569E">
        <w:rPr>
          <w:b w:val="0"/>
          <w:bCs w:val="0"/>
          <w:lang w:val="en-US"/>
        </w:rPr>
        <w:t xml:space="preserve"> to not be able to optimally carry out the planned program. Therefore, it is necessary to involve </w:t>
      </w:r>
      <w:proofErr w:type="spellStart"/>
      <w:r w:rsidR="006B569E" w:rsidRPr="006B569E">
        <w:rPr>
          <w:b w:val="0"/>
          <w:bCs w:val="0"/>
          <w:lang w:val="en-US"/>
        </w:rPr>
        <w:t>posyandu</w:t>
      </w:r>
      <w:proofErr w:type="spellEnd"/>
      <w:r w:rsidR="006B569E" w:rsidRPr="006B569E">
        <w:rPr>
          <w:b w:val="0"/>
          <w:bCs w:val="0"/>
          <w:lang w:val="en-US"/>
        </w:rPr>
        <w:t xml:space="preserve"> cadres who can act as partners of educators and motivators for young women together with </w:t>
      </w:r>
      <w:proofErr w:type="spellStart"/>
      <w:r w:rsidR="00922A86">
        <w:rPr>
          <w:b w:val="0"/>
          <w:bCs w:val="0"/>
          <w:lang w:val="en-US"/>
        </w:rPr>
        <w:t>K</w:t>
      </w:r>
      <w:r w:rsidR="0099699B">
        <w:rPr>
          <w:b w:val="0"/>
          <w:bCs w:val="0"/>
          <w:lang w:val="en-US"/>
        </w:rPr>
        <w:t>a</w:t>
      </w:r>
      <w:r w:rsidR="005712B1">
        <w:rPr>
          <w:b w:val="0"/>
          <w:bCs w:val="0"/>
          <w:lang w:val="en-US"/>
        </w:rPr>
        <w:t>tar</w:t>
      </w:r>
      <w:proofErr w:type="spellEnd"/>
      <w:r w:rsidR="006B569E" w:rsidRPr="006B569E">
        <w:rPr>
          <w:b w:val="0"/>
          <w:bCs w:val="0"/>
          <w:lang w:val="en-US"/>
        </w:rPr>
        <w:t>.</w:t>
      </w:r>
      <w:r w:rsidR="0099699B">
        <w:rPr>
          <w:b w:val="0"/>
          <w:bCs w:val="0"/>
          <w:lang w:val="en-US"/>
        </w:rPr>
        <w:t xml:space="preserve"> </w:t>
      </w:r>
      <w:r w:rsidR="0099699B" w:rsidRPr="0099699B">
        <w:rPr>
          <w:b w:val="0"/>
          <w:bCs w:val="0"/>
          <w:lang w:val="en-US"/>
        </w:rPr>
        <w:t>These two social groups are classified as CBO types because they have a formal organizational structure under the village office</w:t>
      </w:r>
      <w:r w:rsidR="0099699B">
        <w:rPr>
          <w:b w:val="0"/>
          <w:bCs w:val="0"/>
          <w:lang w:val="en-US"/>
        </w:rPr>
        <w:t>.</w:t>
      </w:r>
      <w:r w:rsidR="00133E84" w:rsidRPr="00C624F1">
        <w:rPr>
          <w:b w:val="0"/>
          <w:bCs w:val="0"/>
          <w:vertAlign w:val="superscript"/>
          <w:lang w:val="en-US"/>
        </w:rPr>
        <w:fldChar w:fldCharType="begin" w:fldLock="1"/>
      </w:r>
      <w:r w:rsidR="00C624F1" w:rsidRPr="00C624F1">
        <w:rPr>
          <w:b w:val="0"/>
          <w:bCs w:val="0"/>
          <w:vertAlign w:val="superscript"/>
          <w:lang w:val="en-US"/>
        </w:rPr>
        <w:instrText>ADDIN CSL_CITATION {"citationItems":[{"id":"ITEM-1","itemData":{"abstract":"Karang Taruna adalah Organisasi Sosial wadah pengembangan generasi muda yang tumbuh dan berkembang atas dasar kesadaran dan tanggung jawab sosial dari, oleh dan untuk masyarakat terutama generasi muda di wilayah desa/ kelurahan dan terutama bergerak di bidang usaha kesejahteraan social. Tujuan dari diadakannya kegiatan pengabdian kepada masyarakat ini adalah untuk menemukan solusi masalah yang muncul dari Karang Taruna “TUNAS” yang berada di wilayah Kecamatan Gunungpati Kota Semarang. Hasil dari kegiatan ini ternyata mampu memberikan dampak positif bagi para peserta yaitu anggota dari Karang Taruna yang mana dengan adanya kegiatan pelatihan yang sering diikuti akan semakin banyak ilmu pengetahuan yang digali terutama kemampuan managerial dan digitalisasi sitem dan peningkatan kualitas SDM Karang Taruna Tunas untuk memunculkan jiwa kewirausahaan pada generasi muda","author":[{"dropping-particle":"","family":"Hapsari","given":"Dian Indiriana","non-dropping-particle":"","parse-names":false,"suffix":""},{"dropping-particle":"","family":"Pamungkas","given":"Imang Dapit","non-dropping-particle":"","parse-names":false,"suffix":""},{"dropping-particle":"","family":"Anna","given":"Sumaryati","non-dropping-particle":"","parse-names":false,"suffix":""},{"dropping-particle":"","family":"Suhartono","given":"Entot","non-dropping-particle":"","parse-names":false,"suffix":""},{"dropping-particle":"","family":"Hernawati","given":"Retno Indah","non-dropping-particle":"","parse-names":false,"suffix":""},{"dropping-particle":"","family":"Pratiwi","given":"Ririh Dian","non-dropping-particle":"","parse-names":false,"suffix":""}],"container-title":"Jurnal Pengabdian Kepada Masyarakat","id":"ITEM-1","issue":"1","issued":{"date-parts":[["2022"]]},"page":"785-792","title":"Manajemen Operasional dan pada Organisasi Karang Taruna di Gunung Pati Kota Semarang Digitalisasi","type":"article-journal","volume":"02"},"uris":["http://www.mendeley.com/documents/?uuid=d2b2e027-096a-4545-a9b1-136e6d02057e"]}],"mendeley":{"formattedCitation":"(16)","manualFormatting":"16","plainTextFormattedCitation":"(16)","previouslyFormattedCitation":"(16)"},"properties":{"noteIndex":0},"schema":"https://github.com/citation-style-language/schema/raw/master/csl-citation.json"}</w:instrText>
      </w:r>
      <w:r w:rsidR="00133E84" w:rsidRPr="00C624F1">
        <w:rPr>
          <w:b w:val="0"/>
          <w:bCs w:val="0"/>
          <w:vertAlign w:val="superscript"/>
          <w:lang w:val="en-US"/>
        </w:rPr>
        <w:fldChar w:fldCharType="separate"/>
      </w:r>
      <w:r w:rsidR="00133E84" w:rsidRPr="00C624F1">
        <w:rPr>
          <w:b w:val="0"/>
          <w:bCs w:val="0"/>
          <w:noProof/>
          <w:vertAlign w:val="superscript"/>
          <w:lang w:val="en-US"/>
        </w:rPr>
        <w:t>16</w:t>
      </w:r>
      <w:r w:rsidR="00133E84" w:rsidRPr="00C624F1">
        <w:rPr>
          <w:b w:val="0"/>
          <w:bCs w:val="0"/>
          <w:vertAlign w:val="superscript"/>
          <w:lang w:val="en-US"/>
        </w:rPr>
        <w:fldChar w:fldCharType="end"/>
      </w:r>
      <w:r w:rsidR="0099699B">
        <w:rPr>
          <w:b w:val="0"/>
          <w:bCs w:val="0"/>
          <w:lang w:val="en-US"/>
        </w:rPr>
        <w:t xml:space="preserve"> </w:t>
      </w:r>
      <w:r w:rsidR="00740891" w:rsidRPr="00740891">
        <w:rPr>
          <w:b w:val="0"/>
          <w:bCs w:val="0"/>
          <w:lang w:val="en-US"/>
        </w:rPr>
        <w:t>This CBO involvement effort is in accordance with the statement of Malhotra et</w:t>
      </w:r>
      <w:r w:rsidR="00740891">
        <w:rPr>
          <w:b w:val="0"/>
          <w:bCs w:val="0"/>
          <w:lang w:val="en-US"/>
        </w:rPr>
        <w:t>.</w:t>
      </w:r>
      <w:r w:rsidR="00740891" w:rsidRPr="00740891">
        <w:rPr>
          <w:b w:val="0"/>
          <w:bCs w:val="0"/>
          <w:lang w:val="en-US"/>
        </w:rPr>
        <w:t xml:space="preserve"> Al</w:t>
      </w:r>
      <w:r w:rsidR="00740891">
        <w:rPr>
          <w:b w:val="0"/>
          <w:bCs w:val="0"/>
          <w:lang w:val="en-US"/>
        </w:rPr>
        <w:t xml:space="preserve"> (2015)</w:t>
      </w:r>
      <w:r w:rsidR="00740891" w:rsidRPr="00740891">
        <w:rPr>
          <w:b w:val="0"/>
          <w:bCs w:val="0"/>
          <w:lang w:val="en-US"/>
        </w:rPr>
        <w:t>, Roche et</w:t>
      </w:r>
      <w:r w:rsidR="00740891">
        <w:rPr>
          <w:b w:val="0"/>
          <w:bCs w:val="0"/>
          <w:lang w:val="en-US"/>
        </w:rPr>
        <w:t>.</w:t>
      </w:r>
      <w:r w:rsidR="00740891" w:rsidRPr="00740891">
        <w:rPr>
          <w:b w:val="0"/>
          <w:bCs w:val="0"/>
          <w:lang w:val="en-US"/>
        </w:rPr>
        <w:t>al</w:t>
      </w:r>
      <w:r w:rsidR="00740891">
        <w:rPr>
          <w:b w:val="0"/>
          <w:bCs w:val="0"/>
          <w:lang w:val="en-US"/>
        </w:rPr>
        <w:t xml:space="preserve"> (2018)</w:t>
      </w:r>
      <w:r w:rsidR="00740891" w:rsidRPr="00740891">
        <w:rPr>
          <w:b w:val="0"/>
          <w:bCs w:val="0"/>
          <w:lang w:val="en-US"/>
        </w:rPr>
        <w:t xml:space="preserve"> which states that community involvement efforts are a form of multi-sectoral collaboration so that the program to reduce anemia cases in adolescent girls is successful and in line with the socio-ecological model</w:t>
      </w:r>
      <w:r w:rsidR="00C624F1">
        <w:rPr>
          <w:b w:val="0"/>
          <w:bCs w:val="0"/>
          <w:lang w:val="en-US"/>
        </w:rPr>
        <w:t>.</w:t>
      </w:r>
      <w:r w:rsidR="00740891" w:rsidRPr="00C624F1">
        <w:rPr>
          <w:b w:val="0"/>
          <w:bCs w:val="0"/>
          <w:vertAlign w:val="superscript"/>
          <w:lang w:val="en-US"/>
        </w:rPr>
        <w:fldChar w:fldCharType="begin" w:fldLock="1"/>
      </w:r>
      <w:r w:rsidR="00C624F1" w:rsidRPr="00C624F1">
        <w:rPr>
          <w:b w:val="0"/>
          <w:bCs w:val="0"/>
          <w:vertAlign w:val="superscript"/>
          <w:lang w:val="en-US"/>
        </w:rPr>
        <w:instrText>ADDIN CSL_CITATION {"citationItems":[{"id":"ITEM-1","itemData":{"author":[{"dropping-particle":"","family":"Sumit Malhotra, Kapil Yadav, Y.S. Kusuma, Smita Sinha, Vikas Yadav","given":"Chandarakant S. Panda","non-dropping-particle":"","parse-names":false,"suffix":""}],"container-title":"The National Medical Journal of India","id":"ITEM-1","issue":"2","issued":{"date-parts":[["2015"]]},"page":"81-85","title":"Challenges in scaling up succesful publi health interventions: Lessons Learnt from resistance to a natioanwide roll-out of the weekly iron-folic acid supplementation programme for adolescents in India","type":"article-journal","volume":"28"},"uris":["http://www.mendeley.com/documents/?uuid=337e3b2b-876f-42b2-a7a6-d032fc4d197b"]},{"id":"ITEM-2","itemData":{"DOI":"10.1136/bmj.k4541","author":[{"dropping-particle":"","family":"Roche, Leslie Marion, Bury L, Isma NY, Asri EK, Pureanti TS, Kusyuniati S, Bhardwaj A","given":"Izwardy D","non-dropping-particle":"","parse-names":false,"suffix":""}],"container-title":"BMC Public Health","id":"ITEM-2","issued":{"date-parts":[["2018"]]},"page":"1-6","title":"Adolescent girls’ nutrition and prevention of anaemia: a school based multisectoral collaboration in Indonesia","type":"article-journal","volume":"363:k4531"},"uris":["http://www.mendeley.com/documents/?uuid=60d19ef9-c61e-4b25-8f0b-9515d1867684"]}],"mendeley":{"formattedCitation":"(17,18)","manualFormatting":"17,18","plainTextFormattedCitation":"(17,18)","previouslyFormattedCitation":"(17,18)"},"properties":{"noteIndex":0},"schema":"https://github.com/citation-style-language/schema/raw/master/csl-citation.json"}</w:instrText>
      </w:r>
      <w:r w:rsidR="00740891" w:rsidRPr="00C624F1">
        <w:rPr>
          <w:b w:val="0"/>
          <w:bCs w:val="0"/>
          <w:vertAlign w:val="superscript"/>
          <w:lang w:val="en-US"/>
        </w:rPr>
        <w:fldChar w:fldCharType="separate"/>
      </w:r>
      <w:r w:rsidR="00133E84" w:rsidRPr="00C624F1">
        <w:rPr>
          <w:b w:val="0"/>
          <w:bCs w:val="0"/>
          <w:noProof/>
          <w:vertAlign w:val="superscript"/>
          <w:lang w:val="en-US"/>
        </w:rPr>
        <w:t>17,18</w:t>
      </w:r>
      <w:r w:rsidR="00740891" w:rsidRPr="00C624F1">
        <w:rPr>
          <w:b w:val="0"/>
          <w:bCs w:val="0"/>
          <w:vertAlign w:val="superscript"/>
          <w:lang w:val="en-US"/>
        </w:rPr>
        <w:fldChar w:fldCharType="end"/>
      </w:r>
    </w:p>
    <w:p w14:paraId="55E300C2" w14:textId="3CCB0573" w:rsidR="00740891" w:rsidRDefault="00532DA7" w:rsidP="0001269A">
      <w:pPr>
        <w:pStyle w:val="Heading1"/>
        <w:ind w:left="0" w:firstLine="426"/>
        <w:jc w:val="both"/>
        <w:rPr>
          <w:b w:val="0"/>
          <w:bCs w:val="0"/>
          <w:lang w:val="en-US"/>
        </w:rPr>
      </w:pPr>
      <w:r>
        <w:rPr>
          <w:b w:val="0"/>
          <w:bCs w:val="0"/>
          <w:lang w:val="en-US"/>
        </w:rPr>
        <w:t>B</w:t>
      </w:r>
      <w:r w:rsidRPr="00532DA7">
        <w:rPr>
          <w:b w:val="0"/>
          <w:bCs w:val="0"/>
          <w:lang w:val="en-US"/>
        </w:rPr>
        <w:t xml:space="preserve">ecause </w:t>
      </w:r>
      <w:r>
        <w:rPr>
          <w:b w:val="0"/>
          <w:bCs w:val="0"/>
          <w:lang w:val="en-US"/>
        </w:rPr>
        <w:t>CBO members</w:t>
      </w:r>
      <w:r w:rsidRPr="00532DA7">
        <w:rPr>
          <w:b w:val="0"/>
          <w:bCs w:val="0"/>
          <w:lang w:val="en-US"/>
        </w:rPr>
        <w:t xml:space="preserve"> have never been involved in an anemia prevention program, it is not surprising that CBO members have less knowledge about anemia.</w:t>
      </w:r>
      <w:r w:rsidR="000C154D" w:rsidRPr="000C154D">
        <w:t xml:space="preserve"> </w:t>
      </w:r>
      <w:r w:rsidR="000C154D" w:rsidRPr="000C154D">
        <w:rPr>
          <w:b w:val="0"/>
          <w:bCs w:val="0"/>
          <w:lang w:val="en-US"/>
        </w:rPr>
        <w:t xml:space="preserve">This is in accordance with the studies conducted by </w:t>
      </w:r>
      <w:proofErr w:type="spellStart"/>
      <w:r w:rsidR="000C154D" w:rsidRPr="000C154D">
        <w:rPr>
          <w:b w:val="0"/>
          <w:bCs w:val="0"/>
          <w:lang w:val="en-US"/>
        </w:rPr>
        <w:t>Puspikawati</w:t>
      </w:r>
      <w:proofErr w:type="spellEnd"/>
      <w:r w:rsidR="000C154D" w:rsidRPr="000C154D">
        <w:rPr>
          <w:b w:val="0"/>
          <w:bCs w:val="0"/>
          <w:lang w:val="en-US"/>
        </w:rPr>
        <w:t xml:space="preserve"> and </w:t>
      </w:r>
      <w:proofErr w:type="spellStart"/>
      <w:r w:rsidR="000C154D" w:rsidRPr="000C154D">
        <w:rPr>
          <w:b w:val="0"/>
          <w:bCs w:val="0"/>
          <w:lang w:val="en-US"/>
        </w:rPr>
        <w:t>Megatsari</w:t>
      </w:r>
      <w:proofErr w:type="spellEnd"/>
      <w:r w:rsidR="000C154D" w:rsidRPr="000C154D">
        <w:rPr>
          <w:b w:val="0"/>
          <w:bCs w:val="0"/>
          <w:lang w:val="en-US"/>
        </w:rPr>
        <w:t xml:space="preserve"> (2018) and </w:t>
      </w:r>
      <w:proofErr w:type="spellStart"/>
      <w:r w:rsidR="000C154D" w:rsidRPr="000C154D">
        <w:rPr>
          <w:b w:val="0"/>
          <w:bCs w:val="0"/>
          <w:lang w:val="en-US"/>
        </w:rPr>
        <w:t>Simanungkalit</w:t>
      </w:r>
      <w:proofErr w:type="spellEnd"/>
      <w:r w:rsidR="000C154D" w:rsidRPr="000C154D">
        <w:rPr>
          <w:b w:val="0"/>
          <w:bCs w:val="0"/>
          <w:lang w:val="en-US"/>
        </w:rPr>
        <w:t xml:space="preserve"> and </w:t>
      </w:r>
      <w:proofErr w:type="spellStart"/>
      <w:r w:rsidR="000C154D" w:rsidRPr="000C154D">
        <w:rPr>
          <w:b w:val="0"/>
          <w:bCs w:val="0"/>
          <w:lang w:val="en-US"/>
        </w:rPr>
        <w:t>Wahyuningtyas</w:t>
      </w:r>
      <w:proofErr w:type="spellEnd"/>
      <w:r w:rsidR="000C154D" w:rsidRPr="000C154D">
        <w:rPr>
          <w:b w:val="0"/>
          <w:bCs w:val="0"/>
          <w:lang w:val="en-US"/>
        </w:rPr>
        <w:t xml:space="preserve"> (2020) </w:t>
      </w:r>
      <w:r w:rsidR="000C154D" w:rsidRPr="000C154D">
        <w:rPr>
          <w:b w:val="0"/>
          <w:bCs w:val="0"/>
          <w:lang w:val="en-US"/>
        </w:rPr>
        <w:lastRenderedPageBreak/>
        <w:t>which stated that the level of knowledge of youth members and cadres about reproductive health, including anemia in adolescent girls, was still low.</w:t>
      </w:r>
      <w:r w:rsidR="000C154D" w:rsidRPr="00C624F1">
        <w:rPr>
          <w:b w:val="0"/>
          <w:bCs w:val="0"/>
          <w:vertAlign w:val="superscript"/>
          <w:lang w:val="en-US"/>
        </w:rPr>
        <w:fldChar w:fldCharType="begin" w:fldLock="1"/>
      </w:r>
      <w:r w:rsidR="00C624F1" w:rsidRPr="00C624F1">
        <w:rPr>
          <w:b w:val="0"/>
          <w:bCs w:val="0"/>
          <w:vertAlign w:val="superscript"/>
          <w:lang w:val="en-US"/>
        </w:rPr>
        <w:instrText>ADDIN CSL_CITATION {"citationItems":[{"id":"ITEM-1","itemData":{"DOI":"10.20473/jphrecode.v1i2.16236","ISSN":"2580-0140","abstract":"Pada tahun 2014, pernikahan dini di Banyuwangi sebanyak 22% dari jumlah pasangan yang menikah. Salah satu penyebabnya adalah kurangnya pengetahuan tentang kesehatan reproduksi. Upaya peningkatan pengetahuan yang efektif dapat dilakukan melalui pendidikan sebaya. Penelitian ini bertujuan mengetahui pengaruh pendidikan sebaya terhadap pengetahuan kesehatan reproduksi remaja. Jenis penelitian adalah eksperimen dengan desain penelitian quasi eksperimeni pre-post with kontrol design. Penelitian dilakukan pada remaja karang taruna Tamansari, Licin, Banyuwangi tahun 2015. Subjek dalam penelitian ini dipilih secara convenient sampling dan terbagi dalam dua grup yaitu remaja karang taruna yang mendapat pendidikan sebaya (13 orang) dan remaja yang tidak mendapat pendidikan sebaya (17 orang). Hasil penelitian menunjukkan bahwa sebagian peserta pada kelompok perlakuan berjenis kelamin perempuan (76,92%) sedangkan pada kelompok kontrol berjenis kelamin laki-laki (56,25%). Rata-rata umur pada kedua kelompok adalah 17 tahun dan berpendidikan tinggi (76,92% dan 56,25%), terdapat perbedaan pengetahuan sebelum dan sesudah perlakuan antara kelompok kasus dan kontrol (p=0,04 dan p=0,001). Pengetahuan sebelum dan sesudah pada kelompok kasus dan kontrol juga berbeda (p=0,04 dan p=0,01). Sehingga ada perbedaan pengetahuan sebelum dan sesudah perlakuan antara kelompok perlakuan dan kontrol namun tidak ada pengaruh pendidikan pada peningkatan pengetahuan.","author":[{"dropping-particle":"","family":"Puspikawati","given":"Septa Indra","non-dropping-particle":"","parse-names":false,"suffix":""},{"dropping-particle":"","family":"Megatsari","given":"Hario","non-dropping-particle":"","parse-names":false,"suffix":""}],"container-title":"Journal of Public Health Research and Community Health Development","id":"ITEM-1","issue":"2","issued":{"date-parts":[["2019"]]},"page":"80","title":"Pengaruh Pendidikan Sebaya Terhadap Pengetahuan Kesehatan Repoduksi Remaja Di Karang Taruna Kabupaten Banyuwangi","type":"article-journal","volume":"1"},"uris":["http://www.mendeley.com/documents/?uuid=06a17cf2-0e76-498b-8bc7-13cafd7fbfe3"]},{"id":"ITEM-2","itemData":{"abstract":"… data Riskesdas pada tahun 2013 dan 2018, masasah anemia dan konsumsi TTD merupan … makanan tambahan (PMT) lokal, pemberian kapsul vitamin A dan tablet Fe (Kemenkes, 2012) … Kegiatan ini dilakukan di aula serbaguna Kelurahan Pasir Putih pada bulan Agustus 2019 …","author":[{"dropping-particle":"","family":"Simanungkalit","given":"S F","non-dropping-particle":"","parse-names":false,"suffix":""},{"dropping-particle":"","family":"...","given":"","non-dropping-particle":"","parse-names":false,"suffix":""}],"container-title":"Jurnal Bisnis …","id":"ITEM-2","issued":{"date-parts":[["2020"]]},"page":"49-52","title":"Pkm Kelompok Kader Dalam Penyuluhan Cegah Anemia Pada Remajaputri Di Kelurahan Pasir Putih Depok","type":"article-journal"},"uris":["http://www.mendeley.com/documents/?uuid=cf03a00d-172a-455d-a915-9ccb796aca5c"]}],"mendeley":{"formattedCitation":"(19,20)","manualFormatting":"19,20","plainTextFormattedCitation":"(19,20)","previouslyFormattedCitation":"(19,20)"},"properties":{"noteIndex":0},"schema":"https://github.com/citation-style-language/schema/raw/master/csl-citation.json"}</w:instrText>
      </w:r>
      <w:r w:rsidR="000C154D" w:rsidRPr="00C624F1">
        <w:rPr>
          <w:b w:val="0"/>
          <w:bCs w:val="0"/>
          <w:vertAlign w:val="superscript"/>
          <w:lang w:val="en-US"/>
        </w:rPr>
        <w:fldChar w:fldCharType="separate"/>
      </w:r>
      <w:r w:rsidR="00133E84" w:rsidRPr="00C624F1">
        <w:rPr>
          <w:b w:val="0"/>
          <w:bCs w:val="0"/>
          <w:noProof/>
          <w:vertAlign w:val="superscript"/>
          <w:lang w:val="en-US"/>
        </w:rPr>
        <w:t>19,20</w:t>
      </w:r>
      <w:r w:rsidR="000C154D" w:rsidRPr="00C624F1">
        <w:rPr>
          <w:b w:val="0"/>
          <w:bCs w:val="0"/>
          <w:vertAlign w:val="superscript"/>
          <w:lang w:val="en-US"/>
        </w:rPr>
        <w:fldChar w:fldCharType="end"/>
      </w:r>
    </w:p>
    <w:p w14:paraId="62E3B178" w14:textId="1157326E" w:rsidR="008A7246" w:rsidRDefault="00201813" w:rsidP="0001269A">
      <w:pPr>
        <w:pStyle w:val="Heading1"/>
        <w:ind w:left="0" w:firstLine="426"/>
        <w:jc w:val="both"/>
        <w:rPr>
          <w:b w:val="0"/>
          <w:bCs w:val="0"/>
          <w:lang w:val="en-US"/>
        </w:rPr>
      </w:pPr>
      <w:r w:rsidRPr="00201813">
        <w:rPr>
          <w:b w:val="0"/>
          <w:bCs w:val="0"/>
          <w:lang w:val="en-US"/>
        </w:rPr>
        <w:t xml:space="preserve">Although knowledge is still low, </w:t>
      </w:r>
      <w:r w:rsidR="00C624F1" w:rsidRPr="00201813">
        <w:rPr>
          <w:b w:val="0"/>
          <w:bCs w:val="0"/>
          <w:lang w:val="en-US"/>
        </w:rPr>
        <w:t>most</w:t>
      </w:r>
      <w:r w:rsidRPr="00201813">
        <w:rPr>
          <w:b w:val="0"/>
          <w:bCs w:val="0"/>
          <w:lang w:val="en-US"/>
        </w:rPr>
        <w:t xml:space="preserve"> CBO members have positive attitudes and self-efficacy towards CBO collaboration efforts in the anemia prevention program in adolescent girls.</w:t>
      </w:r>
      <w:r w:rsidRPr="00201813">
        <w:t xml:space="preserve"> </w:t>
      </w:r>
      <w:r w:rsidRPr="00201813">
        <w:rPr>
          <w:b w:val="0"/>
          <w:bCs w:val="0"/>
          <w:lang w:val="en-US"/>
        </w:rPr>
        <w:t xml:space="preserve">Although knowledge is still low, </w:t>
      </w:r>
      <w:r w:rsidR="00C624F1" w:rsidRPr="00201813">
        <w:rPr>
          <w:b w:val="0"/>
          <w:bCs w:val="0"/>
          <w:lang w:val="en-US"/>
        </w:rPr>
        <w:t>most</w:t>
      </w:r>
      <w:r w:rsidRPr="00201813">
        <w:rPr>
          <w:b w:val="0"/>
          <w:bCs w:val="0"/>
          <w:lang w:val="en-US"/>
        </w:rPr>
        <w:t xml:space="preserve"> CBO members have positive attitudes and self-efficacy towards CBO collaboration efforts in the anemia prevention program in adolescent girls. This is the basic capital and potential that must be developed for collaborative efforts in the anemia prevention program for adolescent girls in rural areas.</w:t>
      </w:r>
      <w:r w:rsidR="00661BD0" w:rsidRPr="00661BD0">
        <w:t xml:space="preserve"> </w:t>
      </w:r>
      <w:r w:rsidR="00661BD0" w:rsidRPr="00661BD0">
        <w:rPr>
          <w:b w:val="0"/>
          <w:bCs w:val="0"/>
          <w:lang w:val="en-US"/>
        </w:rPr>
        <w:t>This effort is in line with several previous studies in several areas such as in</w:t>
      </w:r>
      <w:r w:rsidR="00044B21">
        <w:rPr>
          <w:b w:val="0"/>
          <w:bCs w:val="0"/>
          <w:lang w:val="en-US"/>
        </w:rPr>
        <w:t xml:space="preserve"> </w:t>
      </w:r>
      <w:proofErr w:type="spellStart"/>
      <w:r w:rsidR="00044B21">
        <w:rPr>
          <w:b w:val="0"/>
          <w:bCs w:val="0"/>
          <w:lang w:val="en-US"/>
        </w:rPr>
        <w:t>Banyuwangi</w:t>
      </w:r>
      <w:proofErr w:type="spellEnd"/>
      <w:r w:rsidR="001B3847">
        <w:rPr>
          <w:b w:val="0"/>
          <w:bCs w:val="0"/>
          <w:lang w:val="en-US"/>
        </w:rPr>
        <w:t xml:space="preserve"> east</w:t>
      </w:r>
      <w:r w:rsidR="0012000F">
        <w:rPr>
          <w:b w:val="0"/>
          <w:bCs w:val="0"/>
          <w:lang w:val="en-US"/>
        </w:rPr>
        <w:t xml:space="preserve"> J</w:t>
      </w:r>
      <w:r w:rsidR="001B3847">
        <w:rPr>
          <w:b w:val="0"/>
          <w:bCs w:val="0"/>
          <w:lang w:val="en-US"/>
        </w:rPr>
        <w:t>ava</w:t>
      </w:r>
      <w:r w:rsidR="00044B21">
        <w:rPr>
          <w:b w:val="0"/>
          <w:bCs w:val="0"/>
          <w:lang w:val="en-US"/>
        </w:rPr>
        <w:t>, Bantul</w:t>
      </w:r>
      <w:r w:rsidR="001B3847">
        <w:rPr>
          <w:b w:val="0"/>
          <w:bCs w:val="0"/>
          <w:lang w:val="en-US"/>
        </w:rPr>
        <w:t xml:space="preserve"> Yogyakarta and the others area.</w:t>
      </w:r>
      <w:r w:rsidR="0012000F" w:rsidRPr="00C624F1">
        <w:rPr>
          <w:b w:val="0"/>
          <w:bCs w:val="0"/>
          <w:vertAlign w:val="superscript"/>
          <w:lang w:val="en-US"/>
        </w:rPr>
        <w:fldChar w:fldCharType="begin" w:fldLock="1"/>
      </w:r>
      <w:r w:rsidR="00C624F1" w:rsidRPr="00C624F1">
        <w:rPr>
          <w:b w:val="0"/>
          <w:bCs w:val="0"/>
          <w:vertAlign w:val="superscript"/>
          <w:lang w:val="en-US"/>
        </w:rPr>
        <w:instrText>ADDIN CSL_CITATION {"citationItems":[{"id":"ITEM-1","itemData":{"DOI":"10.20473/jphrecode.v1i2.16236","ISSN":"2580-0140","abstract":"Pada tahun 2014, pernikahan dini di Banyuwangi sebanyak 22% dari jumlah pasangan yang menikah. Salah satu penyebabnya adalah kurangnya pengetahuan tentang kesehatan reproduksi. Upaya peningkatan pengetahuan yang efektif dapat dilakukan melalui pendidikan sebaya. Penelitian ini bertujuan mengetahui pengaruh pendidikan sebaya terhadap pengetahuan kesehatan reproduksi remaja. Jenis penelitian adalah eksperimen dengan desain penelitian quasi eksperimeni pre-post with kontrol design. Penelitian dilakukan pada remaja karang taruna Tamansari, Licin, Banyuwangi tahun 2015. Subjek dalam penelitian ini dipilih secara convenient sampling dan terbagi dalam dua grup yaitu remaja karang taruna yang mendapat pendidikan sebaya (13 orang) dan remaja yang tidak mendapat pendidikan sebaya (17 orang). Hasil penelitian menunjukkan bahwa sebagian peserta pada kelompok perlakuan berjenis kelamin perempuan (76,92%) sedangkan pada kelompok kontrol berjenis kelamin laki-laki (56,25%). Rata-rata umur pada kedua kelompok adalah 17 tahun dan berpendidikan tinggi (76,92% dan 56,25%), terdapat perbedaan pengetahuan sebelum dan sesudah perlakuan antara kelompok kasus dan kontrol (p=0,04 dan p=0,001). Pengetahuan sebelum dan sesudah pada kelompok kasus dan kontrol juga berbeda (p=0,04 dan p=0,01). Sehingga ada perbedaan pengetahuan sebelum dan sesudah perlakuan antara kelompok perlakuan dan kontrol namun tidak ada pengaruh pendidikan pada peningkatan pengetahuan.","author":[{"dropping-particle":"","family":"Puspikawati","given":"Septa Indra","non-dropping-particle":"","parse-names":false,"suffix":""},{"dropping-particle":"","family":"Megatsari","given":"Hario","non-dropping-particle":"","parse-names":false,"suffix":""}],"container-title":"Journal of Public Health Research and Community Health Development","id":"ITEM-1","issue":"2","issued":{"date-parts":[["2019"]]},"page":"80","title":"Pengaruh Pendidikan Sebaya Terhadap Pengetahuan Kesehatan Repoduksi Remaja Di Karang Taruna Kabupaten Banyuwangi","type":"article-journal","volume":"1"},"uris":["http://www.mendeley.com/documents/?uuid=06a17cf2-0e76-498b-8bc7-13cafd7fbfe3"]},{"id":"ITEM-2","itemData":{"DOI":"10.29238/jnutri.v22i1.197","ISSN":"1693-945X","abstract":"Latar belakang : Anemia Gizi besi (AGB) merupakan salah satu masalah gizi yang banyak dijumpai di Indonesia khususnya pada remaja. Remaja putri beresiko tinggi mengalami anemia. Pencegahan anemia gizi besi pada remaja dapat dilakukan  melalui pemberdayaan masyarakat melalui edukasi pada kelompok sebaya. Tujuan Khusus : Mengetahui pengaruh pemberdayaan masyarakat melalui edukasi kelompok sebaya terhadap pengetahuan dan sikap pencegahan anemia gizi besi pada remaja. Metode Penelitian : Penelitian ini merupakan penelitian quacy experimental dengan rancangan pre-post test with control group design. Penelitian ini bertempat di Desa Trimurti, Srandakan, Bantul. Populasi dalam penelitian adalah seluruh remaja putri. Analisis bivariat menggunakan uji Independent Sample T-Test dan uji Mann Whitney. Hasil : Ada peningkatan pengetahuan secara signifikan sebelum dan setelah intervensi edukasi kelompok sebaya pada kelompok perlakuan p=0,001 (p&lt;0,05), dan kelompok kontrol p=0,037 (p&lt;0,05). Nilai sikap sebelum dan setelah intervensi pada kelompok perlakuan berubah positif secara signifikan dengan nilai p=0,002 (p&lt;0,05). Nilai sikap sebelum dan setelah intervensi pada kelompok kontrol berubah secara positif tetapi tidak signifikan dengan p=0,46 (p&gt;0,05). Kesimpulan: Intervensi edukasi kelompok sebaya meningkatkan pengetahuan dan sikap anemia gizi besi secara signifikan.","author":[{"dropping-particle":"","family":"Astuti","given":"Rini Wuri","non-dropping-particle":"","parse-names":false,"suffix":""},{"dropping-particle":"","family":"Suryani","given":"Isti","non-dropping-particle":"","parse-names":false,"suffix":""}],"container-title":"Jurnal Nutrisia","id":"ITEM-2","issue":"1","issued":{"date-parts":[["2020"]]},"page":"32-38","title":"Pemberdayaan Masyarakat Melalui Edukasi Kelompok Sebaya Sebagai Upaya Pencegahan Anemia Gizi Besi Pada Remaja","type":"article-journal","volume":"22"},"uris":["http://www.mendeley.com/documents/?uuid=98f95bcf-1e63-4c71-b937-b16fab63dd8a"]}],"mendeley":{"formattedCitation":"(19,21)","manualFormatting":"19,21","plainTextFormattedCitation":"(19,21)","previouslyFormattedCitation":"(19,21)"},"properties":{"noteIndex":0},"schema":"https://github.com/citation-style-language/schema/raw/master/csl-citation.json"}</w:instrText>
      </w:r>
      <w:r w:rsidR="0012000F" w:rsidRPr="00C624F1">
        <w:rPr>
          <w:b w:val="0"/>
          <w:bCs w:val="0"/>
          <w:vertAlign w:val="superscript"/>
          <w:lang w:val="en-US"/>
        </w:rPr>
        <w:fldChar w:fldCharType="separate"/>
      </w:r>
      <w:r w:rsidR="0012000F" w:rsidRPr="00C624F1">
        <w:rPr>
          <w:b w:val="0"/>
          <w:bCs w:val="0"/>
          <w:noProof/>
          <w:vertAlign w:val="superscript"/>
          <w:lang w:val="en-US"/>
        </w:rPr>
        <w:t>19,21</w:t>
      </w:r>
      <w:r w:rsidR="0012000F" w:rsidRPr="00C624F1">
        <w:rPr>
          <w:b w:val="0"/>
          <w:bCs w:val="0"/>
          <w:vertAlign w:val="superscript"/>
          <w:lang w:val="en-US"/>
        </w:rPr>
        <w:fldChar w:fldCharType="end"/>
      </w:r>
    </w:p>
    <w:p w14:paraId="23F8AF07" w14:textId="4ADE994C" w:rsidR="000C154D" w:rsidRDefault="00D32254" w:rsidP="0001269A">
      <w:pPr>
        <w:pStyle w:val="Heading1"/>
        <w:ind w:left="0" w:firstLine="426"/>
        <w:jc w:val="both"/>
        <w:rPr>
          <w:b w:val="0"/>
          <w:bCs w:val="0"/>
          <w:lang w:val="en-US"/>
        </w:rPr>
      </w:pPr>
      <w:r w:rsidRPr="00D32254">
        <w:rPr>
          <w:b w:val="0"/>
          <w:bCs w:val="0"/>
        </w:rPr>
        <w:t>Readiness is the degree to which a community is prepared to take action on an issue</w:t>
      </w:r>
      <w:r w:rsidR="00C624F1">
        <w:rPr>
          <w:b w:val="0"/>
          <w:bCs w:val="0"/>
        </w:rPr>
        <w:t>.</w:t>
      </w:r>
      <w:r w:rsidRPr="00C624F1">
        <w:rPr>
          <w:b w:val="0"/>
          <w:bCs w:val="0"/>
          <w:vertAlign w:val="superscript"/>
        </w:rPr>
        <w:fldChar w:fldCharType="begin" w:fldLock="1"/>
      </w:r>
      <w:r w:rsidR="005712B1" w:rsidRPr="00C624F1">
        <w:rPr>
          <w:b w:val="0"/>
          <w:bCs w:val="0"/>
          <w:vertAlign w:val="superscript"/>
        </w:rPr>
        <w:instrText>ADDIN CSL_CITATION {"citationItems":[{"id":"ITEM-1","itemData":{"abstract":"Assessing Community Readiness for Change Increasing Community Capacity for HIV/AIDS Prevention Creating a climate that makes healthy change possible","author":[{"dropping-particle":"","family":"Plested","given":"Barbara A","non-dropping-particle":"","parse-names":false,"suffix":""},{"dropping-particle":"","family":"Jumper-thurman","given":"Pamela","non-dropping-particle":"","parse-names":false,"suffix":""},{"dropping-particle":"","family":"Edwards","given":"Ruth W","non-dropping-particle":"","parse-names":false,"suffix":""}],"container-title":"The national Center for Community Readiness Ethnic Studies Department. Colorado State University","id":"ITEM-1","issued":{"date-parts":[["2009"]]},"number-of-pages":"65","title":"Community Readiness Manual","type":"book"},"uris":["http://www.mendeley.com/documents/?uuid=d151a8da-6141-4e2c-b214-3e132ae1cae0"]}],"mendeley":{"formattedCitation":"(22)","plainTextFormattedCitation":"(22)","previouslyFormattedCitation":"(22)"},"properties":{"noteIndex":0},"schema":"https://github.com/citation-style-language/schema/raw/master/csl-citation.json"}</w:instrText>
      </w:r>
      <w:r w:rsidRPr="00C624F1">
        <w:rPr>
          <w:b w:val="0"/>
          <w:bCs w:val="0"/>
          <w:vertAlign w:val="superscript"/>
        </w:rPr>
        <w:fldChar w:fldCharType="separate"/>
      </w:r>
      <w:r w:rsidRPr="00C624F1">
        <w:rPr>
          <w:b w:val="0"/>
          <w:bCs w:val="0"/>
          <w:noProof/>
          <w:vertAlign w:val="superscript"/>
        </w:rPr>
        <w:t>22</w:t>
      </w:r>
      <w:r w:rsidRPr="00C624F1">
        <w:rPr>
          <w:b w:val="0"/>
          <w:bCs w:val="0"/>
          <w:vertAlign w:val="superscript"/>
        </w:rPr>
        <w:fldChar w:fldCharType="end"/>
      </w:r>
      <w:r w:rsidRPr="00514B17">
        <w:rPr>
          <w:b w:val="0"/>
          <w:bCs w:val="0"/>
          <w:lang w:val="en-US"/>
        </w:rPr>
        <w:t xml:space="preserve"> </w:t>
      </w:r>
      <w:r w:rsidR="00351EE2" w:rsidRPr="00351EE2">
        <w:rPr>
          <w:b w:val="0"/>
          <w:bCs w:val="0"/>
          <w:lang w:val="en-US"/>
        </w:rPr>
        <w:t>By assessing the level of communi</w:t>
      </w:r>
      <w:r w:rsidR="00351EE2">
        <w:rPr>
          <w:b w:val="0"/>
          <w:bCs w:val="0"/>
          <w:lang w:val="en-US"/>
        </w:rPr>
        <w:t>ty based organization (CB</w:t>
      </w:r>
      <w:r w:rsidR="00C624F1">
        <w:rPr>
          <w:b w:val="0"/>
          <w:bCs w:val="0"/>
          <w:lang w:val="en-US"/>
        </w:rPr>
        <w:t>O</w:t>
      </w:r>
      <w:r w:rsidR="00351EE2">
        <w:rPr>
          <w:b w:val="0"/>
          <w:bCs w:val="0"/>
          <w:lang w:val="en-US"/>
        </w:rPr>
        <w:t>)</w:t>
      </w:r>
      <w:r w:rsidR="00351EE2" w:rsidRPr="00351EE2">
        <w:rPr>
          <w:b w:val="0"/>
          <w:bCs w:val="0"/>
          <w:lang w:val="en-US"/>
        </w:rPr>
        <w:t xml:space="preserve"> readiness, it can produce prevention efforts that are in line with the ability and capacity of the community to change and, therefore, become more effective and sustainable</w:t>
      </w:r>
      <w:r w:rsidR="00BE14F9">
        <w:rPr>
          <w:b w:val="0"/>
          <w:bCs w:val="0"/>
          <w:lang w:val="en-US"/>
        </w:rPr>
        <w:t>.</w:t>
      </w:r>
      <w:r w:rsidR="00351EE2" w:rsidRPr="00BE14F9">
        <w:rPr>
          <w:b w:val="0"/>
          <w:bCs w:val="0"/>
          <w:vertAlign w:val="superscript"/>
          <w:lang w:val="en-US"/>
        </w:rPr>
        <w:fldChar w:fldCharType="begin" w:fldLock="1"/>
      </w:r>
      <w:r w:rsidR="00BE14F9" w:rsidRPr="00BE14F9">
        <w:rPr>
          <w:b w:val="0"/>
          <w:bCs w:val="0"/>
          <w:vertAlign w:val="superscript"/>
          <w:lang w:val="en-US"/>
        </w:rPr>
        <w:instrText>ADDIN CSL_CITATION {"citationItems":[{"id":"ITEM-1","itemData":{"DOI":"10.1186/s12889-019-7644-x","ISBN":"1288901976","ISSN":"14712458","PMID":"31666042","abstract":"BACKGROUND: Understanding levels of community readiness can result in prevention efforts that align with communities' ability and capacity for change and, therefore, be more effective and sustainable. Our study aimed to use baseline (pre-intervention) community readiness scores to assist with the development of obesity prevention strategies, and to assess changes in community readiness over time (pre/post- intervention), to provide evidence of intervention impact. METHOD: Our study was located in a rural and remote area of Victoria, Australia. Community readiness was part of a broader obesity prevention intervention designed to create healthier food and physical activity environments through the combination of systems thinking and collaborative community-led solutions. Interviews were conducted using the community readiness to change tool in 2016 (pre) and 2018 (post) with a community representative sample. Baseline data informed the development of community relevant strategies and the pre/post results formed part of the overall evaluation. RESULTS: The tool generated both quantitative and qualitative (quotes) data. A final readiness score was calculated that corresponded to one of the nine stages of readiness. Four of the five domains of the community readiness to change tool showed statistically significant improvements over time (p &lt; 0.05): knowledge of effort, knowledge of issue, community climate, and leadership. The resources domain that did not improve pre/post intervention. CONCLUSION: Community readiness to change interviews, pre- and post- intervention, provided essential information related to the appropriate targeting and pitch of the prevention strategies, as well as providing an overall evaluation of the positive movement in the community's readiness to implement change.","author":[{"dropping-particle":"","family":"Whelan","given":"Jillian","non-dropping-particle":"","parse-names":false,"suffix":""},{"dropping-particle":"","family":"Love","given":"Penelope","non-dropping-particle":"","parse-names":false,"suffix":""},{"dropping-particle":"","family":"Millar","given":"Lynne","non-dropping-particle":"","parse-names":false,"suffix":""},{"dropping-particle":"","family":"Allender","given":"Steven","non-dropping-particle":"","parse-names":false,"suffix":""},{"dropping-particle":"","family":"Morley","given":"Catherine","non-dropping-particle":"","parse-names":false,"suffix":""},{"dropping-particle":"","family":"Bell","given":"Colin","non-dropping-particle":"","parse-names":false,"suffix":""}],"container-title":"BMC public health","id":"ITEM-1","issue":"1","issued":{"date-parts":[["2019"]]},"page":"1420","publisher":"BMC Public Health","title":"A rural community moves closer to sustainable obesity prevention - an exploration of community readiness pre and post a community-based participatory intervention","type":"article-journal","volume":"19"},"uris":["http://www.mendeley.com/documents/?uuid=5050463a-cac6-4588-8c05-b3572d70a501"]}],"mendeley":{"formattedCitation":"(23)","manualFormatting":"23","plainTextFormattedCitation":"(23)","previouslyFormattedCitation":"(23)"},"properties":{"noteIndex":0},"schema":"https://github.com/citation-style-language/schema/raw/master/csl-citation.json"}</w:instrText>
      </w:r>
      <w:r w:rsidR="00351EE2" w:rsidRPr="00BE14F9">
        <w:rPr>
          <w:b w:val="0"/>
          <w:bCs w:val="0"/>
          <w:vertAlign w:val="superscript"/>
          <w:lang w:val="en-US"/>
        </w:rPr>
        <w:fldChar w:fldCharType="separate"/>
      </w:r>
      <w:r w:rsidR="00351EE2" w:rsidRPr="00BE14F9">
        <w:rPr>
          <w:b w:val="0"/>
          <w:bCs w:val="0"/>
          <w:noProof/>
          <w:vertAlign w:val="superscript"/>
          <w:lang w:val="en-US"/>
        </w:rPr>
        <w:t>23</w:t>
      </w:r>
      <w:r w:rsidR="00351EE2" w:rsidRPr="00BE14F9">
        <w:rPr>
          <w:b w:val="0"/>
          <w:bCs w:val="0"/>
          <w:vertAlign w:val="superscript"/>
          <w:lang w:val="en-US"/>
        </w:rPr>
        <w:fldChar w:fldCharType="end"/>
      </w:r>
      <w:r w:rsidR="00351EE2" w:rsidRPr="00351EE2">
        <w:rPr>
          <w:b w:val="0"/>
          <w:bCs w:val="0"/>
          <w:lang w:val="en-US"/>
        </w:rPr>
        <w:t xml:space="preserve"> </w:t>
      </w:r>
      <w:r w:rsidR="00514B17" w:rsidRPr="00514B17">
        <w:rPr>
          <w:b w:val="0"/>
          <w:bCs w:val="0"/>
          <w:lang w:val="en-US"/>
        </w:rPr>
        <w:t xml:space="preserve">The readiness of the </w:t>
      </w:r>
      <w:proofErr w:type="spellStart"/>
      <w:r w:rsidR="00514B17" w:rsidRPr="00514B17">
        <w:rPr>
          <w:b w:val="0"/>
          <w:bCs w:val="0"/>
          <w:lang w:val="en-US"/>
        </w:rPr>
        <w:t>Sirnagalih</w:t>
      </w:r>
      <w:proofErr w:type="spellEnd"/>
      <w:r w:rsidR="00514B17" w:rsidRPr="00514B17">
        <w:rPr>
          <w:b w:val="0"/>
          <w:bCs w:val="0"/>
          <w:lang w:val="en-US"/>
        </w:rPr>
        <w:t xml:space="preserve"> Village CBO members is at the first level, which means that there is no awareness from the </w:t>
      </w:r>
      <w:proofErr w:type="spellStart"/>
      <w:r w:rsidR="00514B17" w:rsidRPr="00514B17">
        <w:rPr>
          <w:b w:val="0"/>
          <w:bCs w:val="0"/>
          <w:lang w:val="en-US"/>
        </w:rPr>
        <w:t>Sirnagalih</w:t>
      </w:r>
      <w:proofErr w:type="spellEnd"/>
      <w:r w:rsidR="00514B17" w:rsidRPr="00514B17">
        <w:rPr>
          <w:b w:val="0"/>
          <w:bCs w:val="0"/>
          <w:lang w:val="en-US"/>
        </w:rPr>
        <w:t xml:space="preserve"> Village CBO and stakeholders about the problem of anemia in adolescent girls and the need for a W</w:t>
      </w:r>
      <w:r w:rsidR="002D043E">
        <w:rPr>
          <w:b w:val="0"/>
          <w:bCs w:val="0"/>
          <w:lang w:val="en-US"/>
        </w:rPr>
        <w:t>IFAS</w:t>
      </w:r>
      <w:r w:rsidR="00514B17" w:rsidRPr="00514B17">
        <w:rPr>
          <w:b w:val="0"/>
          <w:bCs w:val="0"/>
          <w:lang w:val="en-US"/>
        </w:rPr>
        <w:t xml:space="preserve"> program in the village.</w:t>
      </w:r>
    </w:p>
    <w:p w14:paraId="671DD84E" w14:textId="3C937CCD" w:rsidR="00750312" w:rsidRDefault="00165578" w:rsidP="0001269A">
      <w:pPr>
        <w:pStyle w:val="Heading1"/>
        <w:ind w:left="0" w:firstLine="426"/>
        <w:jc w:val="both"/>
        <w:rPr>
          <w:b w:val="0"/>
          <w:bCs w:val="0"/>
          <w:lang w:val="en-US"/>
        </w:rPr>
      </w:pPr>
      <w:r>
        <w:rPr>
          <w:b w:val="0"/>
          <w:bCs w:val="0"/>
          <w:lang w:val="en-US"/>
        </w:rPr>
        <w:t>D</w:t>
      </w:r>
      <w:r w:rsidRPr="00165578">
        <w:rPr>
          <w:b w:val="0"/>
          <w:bCs w:val="0"/>
          <w:lang w:val="en-US"/>
        </w:rPr>
        <w:t xml:space="preserve">imensions of CBO efforts in the prevention and control of anemia in adolescent girls are in the first level, this reflects that so far in </w:t>
      </w:r>
      <w:proofErr w:type="spellStart"/>
      <w:r w:rsidRPr="00165578">
        <w:rPr>
          <w:b w:val="0"/>
          <w:bCs w:val="0"/>
          <w:lang w:val="en-US"/>
        </w:rPr>
        <w:t>Sirnagalih</w:t>
      </w:r>
      <w:proofErr w:type="spellEnd"/>
      <w:r w:rsidRPr="00165578">
        <w:rPr>
          <w:b w:val="0"/>
          <w:bCs w:val="0"/>
          <w:lang w:val="en-US"/>
        </w:rPr>
        <w:t xml:space="preserve"> village there have been no efforts involving CBOs in the prevention and control of anemia in adolescent girls. This is reinforced by statements from village heads, youth </w:t>
      </w:r>
      <w:proofErr w:type="gramStart"/>
      <w:r w:rsidRPr="00165578">
        <w:rPr>
          <w:b w:val="0"/>
          <w:bCs w:val="0"/>
          <w:lang w:val="en-US"/>
        </w:rPr>
        <w:t xml:space="preserve">leaders </w:t>
      </w:r>
      <w:r w:rsidR="00721298">
        <w:rPr>
          <w:b w:val="0"/>
          <w:bCs w:val="0"/>
          <w:lang w:val="en-US"/>
        </w:rPr>
        <w:t xml:space="preserve"> </w:t>
      </w:r>
      <w:r w:rsidRPr="00165578">
        <w:rPr>
          <w:b w:val="0"/>
          <w:bCs w:val="0"/>
          <w:lang w:val="en-US"/>
        </w:rPr>
        <w:t>and</w:t>
      </w:r>
      <w:proofErr w:type="gramEnd"/>
      <w:r w:rsidRPr="00165578">
        <w:rPr>
          <w:b w:val="0"/>
          <w:bCs w:val="0"/>
          <w:lang w:val="en-US"/>
        </w:rPr>
        <w:t xml:space="preserve"> members of </w:t>
      </w:r>
      <w:proofErr w:type="spellStart"/>
      <w:r>
        <w:rPr>
          <w:b w:val="0"/>
          <w:bCs w:val="0"/>
          <w:lang w:val="en-US"/>
        </w:rPr>
        <w:t>P</w:t>
      </w:r>
      <w:r w:rsidRPr="00165578">
        <w:rPr>
          <w:b w:val="0"/>
          <w:bCs w:val="0"/>
          <w:lang w:val="en-US"/>
        </w:rPr>
        <w:t>osyandu</w:t>
      </w:r>
      <w:proofErr w:type="spellEnd"/>
      <w:r w:rsidRPr="00165578">
        <w:rPr>
          <w:b w:val="0"/>
          <w:bCs w:val="0"/>
          <w:lang w:val="en-US"/>
        </w:rPr>
        <w:t xml:space="preserve"> cadres obtained from interviews and focus group discussions.</w:t>
      </w:r>
    </w:p>
    <w:p w14:paraId="6883DC11" w14:textId="033BC1A4" w:rsidR="00740891" w:rsidRDefault="006C3288" w:rsidP="0001269A">
      <w:pPr>
        <w:pStyle w:val="Heading1"/>
        <w:ind w:left="0" w:firstLine="426"/>
        <w:jc w:val="both"/>
        <w:rPr>
          <w:b w:val="0"/>
          <w:bCs w:val="0"/>
          <w:lang w:val="en-US"/>
        </w:rPr>
      </w:pPr>
      <w:r w:rsidRPr="006C3288">
        <w:rPr>
          <w:b w:val="0"/>
          <w:bCs w:val="0"/>
          <w:lang w:val="en-US"/>
        </w:rPr>
        <w:t xml:space="preserve">The leadership dimensions assessed using 8 question items reflect the level of support from the appointed leadership for the anemia prevention and control program in young women in </w:t>
      </w:r>
      <w:proofErr w:type="spellStart"/>
      <w:r w:rsidRPr="006C3288">
        <w:rPr>
          <w:b w:val="0"/>
          <w:bCs w:val="0"/>
          <w:lang w:val="en-US"/>
        </w:rPr>
        <w:t>Sirnagalih</w:t>
      </w:r>
      <w:proofErr w:type="spellEnd"/>
      <w:r w:rsidRPr="006C3288">
        <w:rPr>
          <w:b w:val="0"/>
          <w:bCs w:val="0"/>
          <w:lang w:val="en-US"/>
        </w:rPr>
        <w:t xml:space="preserve"> village.</w:t>
      </w:r>
    </w:p>
    <w:p w14:paraId="268072D1" w14:textId="55B6AFB3" w:rsidR="001C196C" w:rsidRDefault="001C196C" w:rsidP="00397C9B">
      <w:pPr>
        <w:pStyle w:val="Heading1"/>
        <w:ind w:firstLine="426"/>
        <w:jc w:val="both"/>
        <w:rPr>
          <w:b w:val="0"/>
          <w:bCs w:val="0"/>
          <w:lang w:val="en-US"/>
        </w:rPr>
      </w:pPr>
      <w:r w:rsidRPr="001C196C">
        <w:rPr>
          <w:b w:val="0"/>
          <w:bCs w:val="0"/>
          <w:lang w:val="en-US"/>
        </w:rPr>
        <w:t xml:space="preserve">the results of the assessment of the leadership dimension in this study have the largest score even though they are still in the first readiness stage. The readiness score of this readiness dimension is reflected in the willingness of the village head, the leader of family welfare development (PKK), the head of the youth organization and the nutrition staff of the </w:t>
      </w:r>
      <w:proofErr w:type="spellStart"/>
      <w:r w:rsidRPr="001C196C">
        <w:rPr>
          <w:b w:val="0"/>
          <w:bCs w:val="0"/>
          <w:lang w:val="en-US"/>
        </w:rPr>
        <w:t>Balekambang</w:t>
      </w:r>
      <w:proofErr w:type="spellEnd"/>
      <w:r w:rsidRPr="001C196C">
        <w:rPr>
          <w:b w:val="0"/>
          <w:bCs w:val="0"/>
          <w:lang w:val="en-US"/>
        </w:rPr>
        <w:t xml:space="preserve"> Public Health Center.</w:t>
      </w:r>
      <w:r w:rsidR="00397C9B">
        <w:rPr>
          <w:b w:val="0"/>
          <w:bCs w:val="0"/>
          <w:lang w:val="en-US"/>
        </w:rPr>
        <w:t xml:space="preserve"> </w:t>
      </w:r>
      <w:r w:rsidR="00397C9B" w:rsidRPr="00397C9B">
        <w:rPr>
          <w:b w:val="0"/>
          <w:bCs w:val="0"/>
          <w:lang w:val="en-US"/>
        </w:rPr>
        <w:t xml:space="preserve">the results of the assessment of the leadership dimension in this study have the largest score even though they are still in the first readiness stage. The readiness score of this readiness dimension is reflected in the willingness of the village head, the leader of the family welfare development (PKK), the head of the youth organization and the nutrition staff of the </w:t>
      </w:r>
      <w:proofErr w:type="spellStart"/>
      <w:r w:rsidR="00397C9B" w:rsidRPr="00397C9B">
        <w:rPr>
          <w:b w:val="0"/>
          <w:bCs w:val="0"/>
          <w:lang w:val="en-US"/>
        </w:rPr>
        <w:t>Balekambang</w:t>
      </w:r>
      <w:proofErr w:type="spellEnd"/>
      <w:r w:rsidR="00397C9B" w:rsidRPr="00397C9B">
        <w:rPr>
          <w:b w:val="0"/>
          <w:bCs w:val="0"/>
          <w:lang w:val="en-US"/>
        </w:rPr>
        <w:t xml:space="preserve"> Health Center. </w:t>
      </w:r>
      <w:proofErr w:type="spellStart"/>
      <w:r w:rsidR="00397C9B" w:rsidRPr="00397C9B">
        <w:rPr>
          <w:b w:val="0"/>
          <w:bCs w:val="0"/>
          <w:lang w:val="en-US"/>
        </w:rPr>
        <w:t>Kostadinov</w:t>
      </w:r>
      <w:proofErr w:type="spellEnd"/>
      <w:r w:rsidR="00397C9B" w:rsidRPr="00397C9B">
        <w:rPr>
          <w:b w:val="0"/>
          <w:bCs w:val="0"/>
          <w:lang w:val="en-US"/>
        </w:rPr>
        <w:t xml:space="preserve"> (2016) in his study wrote that leadership </w:t>
      </w:r>
      <w:proofErr w:type="gramStart"/>
      <w:r w:rsidR="00397C9B" w:rsidRPr="00397C9B">
        <w:rPr>
          <w:b w:val="0"/>
          <w:bCs w:val="0"/>
          <w:lang w:val="en-US"/>
        </w:rPr>
        <w:t>can</w:t>
      </w:r>
      <w:proofErr w:type="gramEnd"/>
      <w:r w:rsidR="00397C9B" w:rsidRPr="00397C9B">
        <w:rPr>
          <w:b w:val="0"/>
          <w:bCs w:val="0"/>
          <w:lang w:val="en-US"/>
        </w:rPr>
        <w:t xml:space="preserve"> have an impact on every intervention effort that will be carried out in a community. Community leaders, both formal and informal, can help facilitate program implementation. A highly mobilized community with full leadership support can</w:t>
      </w:r>
      <w:r w:rsidR="00397C9B">
        <w:rPr>
          <w:b w:val="0"/>
          <w:bCs w:val="0"/>
          <w:lang w:val="en-US"/>
        </w:rPr>
        <w:t xml:space="preserve"> </w:t>
      </w:r>
      <w:r w:rsidR="00397C9B" w:rsidRPr="00397C9B">
        <w:rPr>
          <w:b w:val="0"/>
          <w:bCs w:val="0"/>
          <w:lang w:val="en-US"/>
        </w:rPr>
        <w:t>respond to interventions better than communities with few resources and where leadership does not consider the problem a priority. Involving local leaders in program planning and implementation is a basic principle of health promotion as it encourages local program ownership</w:t>
      </w:r>
      <w:r w:rsidR="00BE14F9">
        <w:rPr>
          <w:b w:val="0"/>
          <w:bCs w:val="0"/>
          <w:lang w:val="en-US"/>
        </w:rPr>
        <w:t>.</w:t>
      </w:r>
      <w:r w:rsidR="00397C9B" w:rsidRPr="00BE14F9">
        <w:rPr>
          <w:b w:val="0"/>
          <w:bCs w:val="0"/>
          <w:vertAlign w:val="superscript"/>
          <w:lang w:val="en-US"/>
        </w:rPr>
        <w:fldChar w:fldCharType="begin" w:fldLock="1"/>
      </w:r>
      <w:r w:rsidR="00BE14F9" w:rsidRPr="00BE14F9">
        <w:rPr>
          <w:b w:val="0"/>
          <w:bCs w:val="0"/>
          <w:vertAlign w:val="superscript"/>
          <w:lang w:val="en-US"/>
        </w:rPr>
        <w:instrText>ADDIN CSL_CITATION {"citationItems":[{"id":"ITEM-1","itemData":{"DOI":"10.1071/HE16050","ISBN":"1036-1073 (Print)\r1036-1073","ISSN":"22011617","PMID":"27692062","abstract":"Issue addressed The context of community-based childhood obesity prevention programs can influence the effects of these intervention programs. Leadership readiness for community mobilisation for childhood obesity prevention is one such contextual factor. This study assessed perceived community leadership readiness (PCLR) at two time points in a state-wide, multisite community-based childhood obesity prevention program. Methods PCLR was assessed across 168 suburbs of 20 intervention communities participating in South Australia's Obesity Prevention and Lifestyle (OPAL) program. Using a validated online PCLR tool, four key respondents from each community rated each suburb within their respective community on a nine-point scale for baseline and 2015. Average PCLR and change scores were calculated using the general linear model with suburbs nested in communities. Relationships between demographic variables and change in PCLR were evaluated using multiple regression. Ease of survey use was also assessed. Results Average PCLR increased between baseline (3.51, s.d.=0.82) and 2015 (5.23, s.d.=0.89). PCLR rose in 18 of 20 intervention communities. PCLR was inversely associated with suburb population size (r(2)=0.03, P=0.03, beta=-0.25) and positively associated with intervention duration (r(2) change=0.08, P=0.00, beta=0.29). Only 8% of survey respondents considered the online assessment tool difficult to use. Conclusions PCLR increased over the course of the OPAL intervention. PCLR varied between and within communities. Online assessment of PCLR has utility for multisite program evaluations. So what? Use of a novel, resource-efficient online tool to measure the key contextual factors of PCLR has enabled a better understanding of the success and generalisability of the OPAL program.","author":[{"dropping-particle":"","family":"Kostadinov","given":"Iordan","non-dropping-particle":"","parse-names":false,"suffix":""},{"dropping-particle":"","family":"Daniel","given":"Mark","non-dropping-particle":"","parse-names":false,"suffix":""},{"dropping-particle":"","family":"Jones","given":"Michelle","non-dropping-particle":"","parse-names":false,"suffix":""},{"dropping-particle":"","family":"Cargo","given":"Margaret","non-dropping-particle":"","parse-names":false,"suffix":""}],"container-title":"Health Promotion Journal of Australia","id":"ITEM-1","issued":{"date-parts":[["2016"]]},"title":"Assessing change in perceived community leadership readiness in the Obesity Prevention and Lifestyle program","type":"article-journal"},"uris":["http://www.mendeley.com/documents/?uuid=716a32b4-a636-48bd-b8f8-38849131b9d5"]}],"mendeley":{"formattedCitation":"(24)","manualFormatting":"24","plainTextFormattedCitation":"(24)","previouslyFormattedCitation":"(24)"},"properties":{"noteIndex":0},"schema":"https://github.com/citation-style-language/schema/raw/master/csl-citation.json"}</w:instrText>
      </w:r>
      <w:r w:rsidR="00397C9B" w:rsidRPr="00BE14F9">
        <w:rPr>
          <w:b w:val="0"/>
          <w:bCs w:val="0"/>
          <w:vertAlign w:val="superscript"/>
          <w:lang w:val="en-US"/>
        </w:rPr>
        <w:fldChar w:fldCharType="separate"/>
      </w:r>
      <w:r w:rsidR="00397C9B" w:rsidRPr="00BE14F9">
        <w:rPr>
          <w:b w:val="0"/>
          <w:bCs w:val="0"/>
          <w:noProof/>
          <w:vertAlign w:val="superscript"/>
          <w:lang w:val="en-US"/>
        </w:rPr>
        <w:t>24</w:t>
      </w:r>
      <w:r w:rsidR="00397C9B" w:rsidRPr="00BE14F9">
        <w:rPr>
          <w:b w:val="0"/>
          <w:bCs w:val="0"/>
          <w:vertAlign w:val="superscript"/>
          <w:lang w:val="en-US"/>
        </w:rPr>
        <w:fldChar w:fldCharType="end"/>
      </w:r>
    </w:p>
    <w:p w14:paraId="1542B4D0" w14:textId="26510562" w:rsidR="001F16C7" w:rsidRDefault="00115881" w:rsidP="00397C9B">
      <w:pPr>
        <w:pStyle w:val="Heading1"/>
        <w:ind w:firstLine="426"/>
        <w:jc w:val="both"/>
        <w:rPr>
          <w:b w:val="0"/>
          <w:bCs w:val="0"/>
          <w:lang w:val="en-US"/>
        </w:rPr>
      </w:pPr>
      <w:r>
        <w:rPr>
          <w:b w:val="0"/>
          <w:bCs w:val="0"/>
          <w:lang w:val="en-US"/>
        </w:rPr>
        <w:t>T</w:t>
      </w:r>
      <w:r w:rsidRPr="00115881">
        <w:rPr>
          <w:b w:val="0"/>
          <w:bCs w:val="0"/>
          <w:lang w:val="en-US"/>
        </w:rPr>
        <w:t>he resource dimension has the second smallest score after the effort dimension (1.3). The dimensions of resources in rural CBOs reflect the readiness of human resources, time, funds, and infrastructure for the implementation of anemia prevention and control programs in adolescent girls.</w:t>
      </w:r>
      <w:r w:rsidR="003722A0" w:rsidRPr="003722A0">
        <w:t xml:space="preserve"> </w:t>
      </w:r>
      <w:r w:rsidR="003722A0" w:rsidRPr="003722A0">
        <w:rPr>
          <w:b w:val="0"/>
          <w:bCs w:val="0"/>
          <w:lang w:val="en-US"/>
        </w:rPr>
        <w:t xml:space="preserve">This is in line with </w:t>
      </w:r>
      <w:r w:rsidR="00773549">
        <w:rPr>
          <w:b w:val="0"/>
          <w:bCs w:val="0"/>
          <w:lang w:val="en-US"/>
        </w:rPr>
        <w:t>A</w:t>
      </w:r>
      <w:r w:rsidR="003722A0" w:rsidRPr="003722A0">
        <w:rPr>
          <w:b w:val="0"/>
          <w:bCs w:val="0"/>
          <w:lang w:val="en-US"/>
        </w:rPr>
        <w:t>priningsih et al (2020) study which found the resource dimension as the dimension with the lowest score in institutional readiness to run the WIFAS program.</w:t>
      </w:r>
      <w:r w:rsidR="00773549" w:rsidRPr="00C743C3">
        <w:rPr>
          <w:b w:val="0"/>
          <w:bCs w:val="0"/>
          <w:vertAlign w:val="superscript"/>
          <w:lang w:val="en-US"/>
        </w:rPr>
        <w:fldChar w:fldCharType="begin" w:fldLock="1"/>
      </w:r>
      <w:r w:rsidR="00C743C3" w:rsidRPr="00C743C3">
        <w:rPr>
          <w:b w:val="0"/>
          <w:bCs w:val="0"/>
          <w:vertAlign w:val="superscript"/>
          <w:lang w:val="en-US"/>
        </w:rPr>
        <w:instrText>ADDIN CSL_CITATION {"citationItems":[{"id":"ITEM-1","itemData":{"DOI":"doi: 10.20473/amnt. v4i4.2020.290-298","author":[{"dropping-particle":"","family":"Apriningsih","given":"","non-dropping-particle":"","parse-names":false,"suffix":""},{"dropping-particle":"","family":"Madanijah","given":"Siti","non-dropping-particle":"","parse-names":false,"suffix":""},{"dropping-particle":"","family":"Dwiriani","given":"Cesilia M","non-dropping-particle":"","parse-names":false,"suffix":""},{"dropping-particle":"","family":"Kolopaking","given":"Risatianti","non-dropping-particle":"","parse-names":false,"suffix":""},{"dropping-particle":"","family":"Crosita","given":"Yessi","non-dropping-particle":"","parse-names":false,"suffix":""}],"container-title":"Amerta Nutrition","id":"ITEM-1","issue":"4","issued":{"date-parts":[["2020"]]},"page":"290-298","title":"School Readiness in Weekly iron Folic Acid Supplementation Program in Urban Area, West Java, Indonesia","type":"article-journal","volume":"4"},"uris":["http://www.mendeley.com/documents/?uuid=65537b99-4453-4b69-a8d1-e8bb09bc1ab2"]}],"mendeley":{"formattedCitation":"(5)","manualFormatting":"5","plainTextFormattedCitation":"(5)","previouslyFormattedCitation":"(5)"},"properties":{"noteIndex":0},"schema":"https://github.com/citation-style-language/schema/raw/master/csl-citation.json"}</w:instrText>
      </w:r>
      <w:r w:rsidR="00773549" w:rsidRPr="00C743C3">
        <w:rPr>
          <w:b w:val="0"/>
          <w:bCs w:val="0"/>
          <w:vertAlign w:val="superscript"/>
          <w:lang w:val="en-US"/>
        </w:rPr>
        <w:fldChar w:fldCharType="separate"/>
      </w:r>
      <w:r w:rsidR="00773549" w:rsidRPr="00C743C3">
        <w:rPr>
          <w:b w:val="0"/>
          <w:bCs w:val="0"/>
          <w:noProof/>
          <w:vertAlign w:val="superscript"/>
          <w:lang w:val="en-US"/>
        </w:rPr>
        <w:t>5</w:t>
      </w:r>
      <w:r w:rsidR="00773549" w:rsidRPr="00C743C3">
        <w:rPr>
          <w:b w:val="0"/>
          <w:bCs w:val="0"/>
          <w:vertAlign w:val="superscript"/>
          <w:lang w:val="en-US"/>
        </w:rPr>
        <w:fldChar w:fldCharType="end"/>
      </w:r>
      <w:r w:rsidR="00773549">
        <w:rPr>
          <w:b w:val="0"/>
          <w:bCs w:val="0"/>
          <w:lang w:val="en-US"/>
        </w:rPr>
        <w:t xml:space="preserve"> </w:t>
      </w:r>
      <w:r w:rsidR="00773549" w:rsidRPr="00773549">
        <w:rPr>
          <w:b w:val="0"/>
          <w:bCs w:val="0"/>
          <w:lang w:val="en-US"/>
        </w:rPr>
        <w:t>This is because the institution/organization does not yet have educational media, special staff and a special budget for the implementation of the WIFAS program</w:t>
      </w:r>
      <w:r w:rsidR="00773549">
        <w:rPr>
          <w:b w:val="0"/>
          <w:bCs w:val="0"/>
          <w:lang w:val="en-US"/>
        </w:rPr>
        <w:t xml:space="preserve">. </w:t>
      </w:r>
    </w:p>
    <w:p w14:paraId="487BCB58" w14:textId="777610EE" w:rsidR="002C020D" w:rsidRDefault="002C020D" w:rsidP="00397C9B">
      <w:pPr>
        <w:pStyle w:val="Heading1"/>
        <w:ind w:firstLine="426"/>
        <w:jc w:val="both"/>
        <w:rPr>
          <w:b w:val="0"/>
          <w:bCs w:val="0"/>
          <w:lang w:val="en-US"/>
        </w:rPr>
      </w:pPr>
      <w:r w:rsidRPr="002C020D">
        <w:rPr>
          <w:b w:val="0"/>
          <w:bCs w:val="0"/>
          <w:lang w:val="en-US"/>
        </w:rPr>
        <w:t xml:space="preserve">Adequate attitudes and self-efficacy of </w:t>
      </w:r>
      <w:proofErr w:type="spellStart"/>
      <w:r w:rsidRPr="002C020D">
        <w:rPr>
          <w:b w:val="0"/>
          <w:bCs w:val="0"/>
          <w:lang w:val="en-US"/>
        </w:rPr>
        <w:t>Katar</w:t>
      </w:r>
      <w:proofErr w:type="spellEnd"/>
      <w:r w:rsidRPr="002C020D">
        <w:rPr>
          <w:b w:val="0"/>
          <w:bCs w:val="0"/>
          <w:lang w:val="en-US"/>
        </w:rPr>
        <w:t xml:space="preserve"> and </w:t>
      </w:r>
      <w:proofErr w:type="spellStart"/>
      <w:r w:rsidRPr="002C020D">
        <w:rPr>
          <w:b w:val="0"/>
          <w:bCs w:val="0"/>
          <w:lang w:val="en-US"/>
        </w:rPr>
        <w:t>Posyandu</w:t>
      </w:r>
      <w:proofErr w:type="spellEnd"/>
      <w:r w:rsidRPr="002C020D">
        <w:rPr>
          <w:b w:val="0"/>
          <w:bCs w:val="0"/>
          <w:lang w:val="en-US"/>
        </w:rPr>
        <w:t xml:space="preserve"> members to collaborate </w:t>
      </w:r>
      <w:r w:rsidRPr="002C020D">
        <w:rPr>
          <w:b w:val="0"/>
          <w:bCs w:val="0"/>
          <w:lang w:val="en-US"/>
        </w:rPr>
        <w:lastRenderedPageBreak/>
        <w:t>in anemia prevention and control programs in adolescent girls indicate a potential that needs to be supported by the level of knowledge and readiness of CBOs. Therefore, it is highly recommended that prior to undertaking collaborative efforts, it is necessary to provide training</w:t>
      </w:r>
      <w:r w:rsidR="00AD6364">
        <w:rPr>
          <w:b w:val="0"/>
          <w:bCs w:val="0"/>
          <w:lang w:val="en-US"/>
        </w:rPr>
        <w:t xml:space="preserve"> to enhance their knowledge and capacity</w:t>
      </w:r>
      <w:r w:rsidRPr="002C020D">
        <w:rPr>
          <w:b w:val="0"/>
          <w:bCs w:val="0"/>
          <w:lang w:val="en-US"/>
        </w:rPr>
        <w:t xml:space="preserve"> and provide resource support to CBOs in the village.</w:t>
      </w:r>
    </w:p>
    <w:p w14:paraId="33AD27F3" w14:textId="77777777" w:rsidR="00397C9B" w:rsidRDefault="00397C9B" w:rsidP="00397C9B">
      <w:pPr>
        <w:pStyle w:val="Heading1"/>
        <w:ind w:firstLine="426"/>
        <w:jc w:val="both"/>
        <w:rPr>
          <w:b w:val="0"/>
          <w:bCs w:val="0"/>
          <w:lang w:val="en-US"/>
        </w:rPr>
      </w:pPr>
    </w:p>
    <w:p w14:paraId="78E12342" w14:textId="4D6E3510" w:rsidR="00AD6F56" w:rsidRDefault="00E5363A" w:rsidP="002C020D">
      <w:pPr>
        <w:pStyle w:val="Heading1"/>
        <w:jc w:val="both"/>
      </w:pPr>
      <w:r>
        <w:t>CONCLUSION</w:t>
      </w:r>
    </w:p>
    <w:p w14:paraId="466F3E1D" w14:textId="77777777" w:rsidR="00BF48FF" w:rsidRDefault="003F75B4" w:rsidP="00BF48FF">
      <w:pPr>
        <w:jc w:val="both"/>
        <w:rPr>
          <w:color w:val="000000"/>
          <w:sz w:val="24"/>
          <w:szCs w:val="24"/>
        </w:rPr>
      </w:pPr>
      <w:r>
        <w:t xml:space="preserve">Readiness level of Community based organization in </w:t>
      </w:r>
      <w:proofErr w:type="spellStart"/>
      <w:r>
        <w:t>Sirnagalih</w:t>
      </w:r>
      <w:proofErr w:type="spellEnd"/>
      <w:r>
        <w:t xml:space="preserve"> Village is at first level. </w:t>
      </w:r>
      <w:r w:rsidR="00DC0BA9" w:rsidRPr="00DC0BA9">
        <w:t xml:space="preserve">However, </w:t>
      </w:r>
      <w:proofErr w:type="spellStart"/>
      <w:r w:rsidR="00DC0BA9" w:rsidRPr="00DC0BA9">
        <w:t>Sirnagalih</w:t>
      </w:r>
      <w:proofErr w:type="spellEnd"/>
      <w:r w:rsidR="00DC0BA9" w:rsidRPr="00DC0BA9">
        <w:t xml:space="preserve"> Village CBO has the potential to be involved in collaborative efforts with the health sector and academia. This can be seen from </w:t>
      </w:r>
      <w:proofErr w:type="gramStart"/>
      <w:r w:rsidR="00DC0BA9" w:rsidRPr="00DC0BA9">
        <w:t>the majority of</w:t>
      </w:r>
      <w:proofErr w:type="gramEnd"/>
      <w:r w:rsidR="00DC0BA9" w:rsidRPr="00DC0BA9">
        <w:t xml:space="preserve"> CBO members have a positive attitude and have adequate efficacy to collaborate in efforts to prevent and overcome an</w:t>
      </w:r>
      <w:r w:rsidR="003C5821">
        <w:rPr>
          <w:b/>
          <w:bCs/>
        </w:rPr>
        <w:t>a</w:t>
      </w:r>
      <w:r w:rsidR="00DC0BA9" w:rsidRPr="00DC0BA9">
        <w:t>emia in adolescent girls.</w:t>
      </w:r>
      <w:r w:rsidR="00BF48FF">
        <w:rPr>
          <w:b/>
          <w:bCs/>
        </w:rPr>
        <w:t xml:space="preserve"> </w:t>
      </w:r>
      <w:r w:rsidR="00BF48FF" w:rsidRPr="00182185">
        <w:rPr>
          <w:color w:val="000000"/>
          <w:sz w:val="24"/>
          <w:szCs w:val="24"/>
        </w:rPr>
        <w:t>It is necessary to make intervention efforts to increase the readiness of CBOs before further collaborative efforts are carried out.</w:t>
      </w:r>
    </w:p>
    <w:p w14:paraId="77AE1BB6" w14:textId="4BFF00D8" w:rsidR="004F4794" w:rsidRDefault="004F4794">
      <w:pPr>
        <w:pStyle w:val="Heading1"/>
        <w:ind w:left="0"/>
      </w:pPr>
    </w:p>
    <w:p w14:paraId="10D04AAB" w14:textId="121511AA" w:rsidR="00B61E4B" w:rsidRDefault="00B61E4B">
      <w:pPr>
        <w:pStyle w:val="Heading1"/>
        <w:ind w:left="0"/>
      </w:pPr>
      <w:r>
        <w:t>ACKNOWLEDGEMENT</w:t>
      </w:r>
    </w:p>
    <w:p w14:paraId="4D536E2A" w14:textId="0869F928" w:rsidR="00B61E4B" w:rsidRPr="00A25667" w:rsidRDefault="00A25667" w:rsidP="00A25667">
      <w:pPr>
        <w:pStyle w:val="Heading1"/>
        <w:ind w:left="0"/>
        <w:jc w:val="both"/>
        <w:rPr>
          <w:b w:val="0"/>
          <w:bCs w:val="0"/>
        </w:rPr>
      </w:pPr>
      <w:r w:rsidRPr="00A25667">
        <w:rPr>
          <w:b w:val="0"/>
          <w:bCs w:val="0"/>
        </w:rPr>
        <w:t>We gratefully acknowledge and thank all respondents (</w:t>
      </w:r>
      <w:proofErr w:type="spellStart"/>
      <w:r w:rsidRPr="00A25667">
        <w:rPr>
          <w:b w:val="0"/>
          <w:bCs w:val="0"/>
        </w:rPr>
        <w:t>Sirnagalih</w:t>
      </w:r>
      <w:proofErr w:type="spellEnd"/>
      <w:r w:rsidRPr="00A25667">
        <w:rPr>
          <w:b w:val="0"/>
          <w:bCs w:val="0"/>
        </w:rPr>
        <w:t xml:space="preserve"> Village head and staff, </w:t>
      </w:r>
      <w:proofErr w:type="spellStart"/>
      <w:r w:rsidRPr="00A25667">
        <w:rPr>
          <w:b w:val="0"/>
          <w:bCs w:val="0"/>
        </w:rPr>
        <w:t>Balekambang</w:t>
      </w:r>
      <w:proofErr w:type="spellEnd"/>
      <w:r w:rsidRPr="00A25667">
        <w:rPr>
          <w:b w:val="0"/>
          <w:bCs w:val="0"/>
        </w:rPr>
        <w:t xml:space="preserve"> Primary health </w:t>
      </w:r>
      <w:proofErr w:type="spellStart"/>
      <w:r w:rsidRPr="00A25667">
        <w:rPr>
          <w:b w:val="0"/>
          <w:bCs w:val="0"/>
        </w:rPr>
        <w:t>center</w:t>
      </w:r>
      <w:proofErr w:type="spellEnd"/>
      <w:r w:rsidRPr="00A25667">
        <w:rPr>
          <w:b w:val="0"/>
          <w:bCs w:val="0"/>
        </w:rPr>
        <w:t xml:space="preserve"> nutrition </w:t>
      </w:r>
      <w:proofErr w:type="gramStart"/>
      <w:r w:rsidRPr="00A25667">
        <w:rPr>
          <w:b w:val="0"/>
          <w:bCs w:val="0"/>
        </w:rPr>
        <w:t>staff,  head</w:t>
      </w:r>
      <w:proofErr w:type="gramEnd"/>
      <w:r w:rsidRPr="00A25667">
        <w:rPr>
          <w:b w:val="0"/>
          <w:bCs w:val="0"/>
        </w:rPr>
        <w:t xml:space="preserve"> of </w:t>
      </w:r>
      <w:proofErr w:type="spellStart"/>
      <w:r w:rsidRPr="00A25667">
        <w:rPr>
          <w:b w:val="0"/>
          <w:bCs w:val="0"/>
        </w:rPr>
        <w:t>karang</w:t>
      </w:r>
      <w:proofErr w:type="spellEnd"/>
      <w:r w:rsidRPr="00A25667">
        <w:rPr>
          <w:b w:val="0"/>
          <w:bCs w:val="0"/>
        </w:rPr>
        <w:t xml:space="preserve"> </w:t>
      </w:r>
      <w:proofErr w:type="spellStart"/>
      <w:r w:rsidRPr="00A25667">
        <w:rPr>
          <w:b w:val="0"/>
          <w:bCs w:val="0"/>
        </w:rPr>
        <w:t>taruna</w:t>
      </w:r>
      <w:proofErr w:type="spellEnd"/>
      <w:r w:rsidRPr="00A25667">
        <w:rPr>
          <w:b w:val="0"/>
          <w:bCs w:val="0"/>
        </w:rPr>
        <w:t xml:space="preserve">,  and cadres) who participated in the current study for their cooperation during our data collection. Financial support: This study was supported by the </w:t>
      </w:r>
      <w:proofErr w:type="spellStart"/>
      <w:r w:rsidRPr="00A25667">
        <w:rPr>
          <w:b w:val="0"/>
          <w:bCs w:val="0"/>
        </w:rPr>
        <w:t>Kemdikbud</w:t>
      </w:r>
      <w:proofErr w:type="spellEnd"/>
      <w:r w:rsidRPr="00A25667">
        <w:rPr>
          <w:b w:val="0"/>
          <w:bCs w:val="0"/>
        </w:rPr>
        <w:t>-</w:t>
      </w:r>
      <w:proofErr w:type="spellStart"/>
      <w:r w:rsidRPr="00A25667">
        <w:rPr>
          <w:b w:val="0"/>
          <w:bCs w:val="0"/>
        </w:rPr>
        <w:t>Dikti</w:t>
      </w:r>
      <w:proofErr w:type="spellEnd"/>
      <w:r w:rsidRPr="00A25667">
        <w:rPr>
          <w:b w:val="0"/>
          <w:bCs w:val="0"/>
        </w:rPr>
        <w:t xml:space="preserve">-LPDP in </w:t>
      </w:r>
      <w:proofErr w:type="spellStart"/>
      <w:r w:rsidRPr="00A25667">
        <w:rPr>
          <w:b w:val="0"/>
          <w:bCs w:val="0"/>
        </w:rPr>
        <w:t>Riset</w:t>
      </w:r>
      <w:proofErr w:type="spellEnd"/>
      <w:r w:rsidRPr="00A25667">
        <w:rPr>
          <w:b w:val="0"/>
          <w:bCs w:val="0"/>
        </w:rPr>
        <w:t xml:space="preserve"> </w:t>
      </w:r>
      <w:proofErr w:type="spellStart"/>
      <w:r w:rsidRPr="00A25667">
        <w:rPr>
          <w:b w:val="0"/>
          <w:bCs w:val="0"/>
        </w:rPr>
        <w:t>Keilmuan</w:t>
      </w:r>
      <w:proofErr w:type="spellEnd"/>
      <w:r w:rsidRPr="00A25667">
        <w:rPr>
          <w:b w:val="0"/>
          <w:bCs w:val="0"/>
        </w:rPr>
        <w:t xml:space="preserve"> scheme. Conflict of interest: None. </w:t>
      </w:r>
    </w:p>
    <w:p w14:paraId="591B6F96" w14:textId="77777777" w:rsidR="00A25667" w:rsidRDefault="00A25667">
      <w:pPr>
        <w:pStyle w:val="Heading1"/>
        <w:ind w:left="0"/>
      </w:pPr>
    </w:p>
    <w:p w14:paraId="6D6A03B5" w14:textId="77777777" w:rsidR="00AD6F56" w:rsidRDefault="00E5363A">
      <w:pPr>
        <w:pStyle w:val="Heading1"/>
        <w:ind w:left="0"/>
      </w:pPr>
      <w:r>
        <w:t>REFERENCES</w:t>
      </w:r>
    </w:p>
    <w:p w14:paraId="5BE17C55" w14:textId="132035C4" w:rsidR="00B60903" w:rsidRPr="00B60903" w:rsidRDefault="00FF4EE8" w:rsidP="00B60903">
      <w:pPr>
        <w:widowControl w:val="0"/>
        <w:autoSpaceDE w:val="0"/>
        <w:autoSpaceDN w:val="0"/>
        <w:adjustRightInd w:val="0"/>
        <w:spacing w:before="80"/>
        <w:ind w:left="640" w:hanging="640"/>
        <w:rPr>
          <w:noProof/>
          <w:sz w:val="24"/>
          <w:szCs w:val="24"/>
        </w:rPr>
      </w:pPr>
      <w:r>
        <w:rPr>
          <w:lang w:val="id-ID"/>
        </w:rPr>
        <w:fldChar w:fldCharType="begin" w:fldLock="1"/>
      </w:r>
      <w:r>
        <w:rPr>
          <w:lang w:val="id-ID"/>
        </w:rPr>
        <w:instrText xml:space="preserve">ADDIN Mendeley Bibliography CSL_BIBLIOGRAPHY </w:instrText>
      </w:r>
      <w:r>
        <w:rPr>
          <w:lang w:val="id-ID"/>
        </w:rPr>
        <w:fldChar w:fldCharType="separate"/>
      </w:r>
      <w:r w:rsidR="00B60903" w:rsidRPr="00B60903">
        <w:rPr>
          <w:noProof/>
          <w:sz w:val="24"/>
          <w:szCs w:val="24"/>
        </w:rPr>
        <w:t xml:space="preserve">1. </w:t>
      </w:r>
      <w:r w:rsidR="00B60903" w:rsidRPr="00B60903">
        <w:rPr>
          <w:noProof/>
          <w:sz w:val="24"/>
          <w:szCs w:val="24"/>
        </w:rPr>
        <w:tab/>
        <w:t>Chandrakumari A, Sinha P, Singaravelu S, S J. Prevalence of Anemia Among Adolescent Girls in a Rural Area of Tamil Nadu, India. J Fam Med Prim Care [Internet]. 2019;8(4):1414–7. Available from: http://www.jfmpc.com/article.asp?issn=2249-4863;year=2017;volume=6;issue=1;spage=169;epage=170;aulast=Faizi</w:t>
      </w:r>
    </w:p>
    <w:p w14:paraId="746BAA22"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2. </w:t>
      </w:r>
      <w:r w:rsidRPr="00B60903">
        <w:rPr>
          <w:noProof/>
          <w:sz w:val="24"/>
          <w:szCs w:val="24"/>
        </w:rPr>
        <w:tab/>
        <w:t xml:space="preserve">Abu-Ouf NM, Jan MM. The impact of maternal iron deficiency and iron deficiency anemia on child’s health. </w:t>
      </w:r>
      <w:r w:rsidRPr="00B60903">
        <w:rPr>
          <w:noProof/>
          <w:sz w:val="24"/>
          <w:szCs w:val="24"/>
        </w:rPr>
        <w:t xml:space="preserve">Saudi Med J. 2015;36(2):146–9. </w:t>
      </w:r>
    </w:p>
    <w:p w14:paraId="616AD1B6"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3. </w:t>
      </w:r>
      <w:r w:rsidRPr="00B60903">
        <w:rPr>
          <w:noProof/>
          <w:sz w:val="24"/>
          <w:szCs w:val="24"/>
        </w:rPr>
        <w:tab/>
        <w:t xml:space="preserve">Kemenkes. Pedoman pencegahan dan penanggulanngan anemia pada remaja putri dan wanita usia subur (WUS). 2016. 14 p. </w:t>
      </w:r>
    </w:p>
    <w:p w14:paraId="59FC1A98"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4. </w:t>
      </w:r>
      <w:r w:rsidRPr="00B60903">
        <w:rPr>
          <w:noProof/>
          <w:sz w:val="24"/>
          <w:szCs w:val="24"/>
        </w:rPr>
        <w:tab/>
        <w:t>World Health Organization. the Global Prevalence of Anaemia in 2011. WHO Rep [Internet]. 2015;48. Available from: http://apps.who.int/iris/bitstream/10665/177094/1/9789241564960_eng.pdf?ua=1</w:t>
      </w:r>
    </w:p>
    <w:p w14:paraId="37950D24"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5. </w:t>
      </w:r>
      <w:r w:rsidRPr="00B60903">
        <w:rPr>
          <w:noProof/>
          <w:sz w:val="24"/>
          <w:szCs w:val="24"/>
        </w:rPr>
        <w:tab/>
        <w:t xml:space="preserve">Apriningsih, Madanijah S, Dwiriani CM, Kolopaking R, Crosita Y. School Readiness in Weekly iron Folic Acid Supplementation Program in Urban Area, West Java, Indonesia. Amerta Nutr. 2020;4(4):290–8. </w:t>
      </w:r>
    </w:p>
    <w:p w14:paraId="6C25E256"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6. </w:t>
      </w:r>
      <w:r w:rsidRPr="00B60903">
        <w:rPr>
          <w:noProof/>
          <w:sz w:val="24"/>
          <w:szCs w:val="24"/>
        </w:rPr>
        <w:tab/>
        <w:t xml:space="preserve">Apriningsih, Madanijah S, Dwiriani CM, Kolopaking R. Determinant of highschool girl adolescent’adherence to consume iron folic acid supplementation in Kota Depok. J Nutr Sci Vitaminol (Tokyo). 2020;66:S369–75. </w:t>
      </w:r>
    </w:p>
    <w:p w14:paraId="0468E94B" w14:textId="461087A6"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7. </w:t>
      </w:r>
      <w:r w:rsidRPr="00B60903">
        <w:rPr>
          <w:noProof/>
          <w:sz w:val="24"/>
          <w:szCs w:val="24"/>
        </w:rPr>
        <w:tab/>
        <w:t>Soewondo P, Sakti GMK, Irawati DO,</w:t>
      </w:r>
      <w:r w:rsidR="00C743C3">
        <w:rPr>
          <w:noProof/>
          <w:sz w:val="24"/>
          <w:szCs w:val="24"/>
        </w:rPr>
        <w:t xml:space="preserve">Pujisubekti R, Rahmayanti NM, Suamrtono AHI, Nurfitriyani M. </w:t>
      </w:r>
      <w:r w:rsidRPr="00B60903">
        <w:rPr>
          <w:noProof/>
          <w:sz w:val="24"/>
          <w:szCs w:val="24"/>
        </w:rPr>
        <w:t>Potret Adaptasi Dan Inovasi Layanan Gizi Di Masa Pandemi Covid-19: Studi Kasus Di 8 Kabupaten/Kota Di Indonesia. In:Forum Ilmiah Tahunan [Internet]. 2020. p. 25–6. Available from: http://jurnal.iakmi.id/index.php/FITIAKMI/article/view/64</w:t>
      </w:r>
    </w:p>
    <w:p w14:paraId="47CA9306" w14:textId="3EA0E8E2"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8. </w:t>
      </w:r>
      <w:r w:rsidRPr="00B60903">
        <w:rPr>
          <w:noProof/>
          <w:sz w:val="24"/>
          <w:szCs w:val="24"/>
        </w:rPr>
        <w:tab/>
        <w:t xml:space="preserve">Kementerian Kesehatan RI Badan Penelitian dan Pengembangan Kesehatan. Laporan Nasional RISKESDAS 2018. Jakarta; 2019. </w:t>
      </w:r>
    </w:p>
    <w:p w14:paraId="41773089"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9. </w:t>
      </w:r>
      <w:r w:rsidRPr="00B60903">
        <w:rPr>
          <w:noProof/>
          <w:sz w:val="24"/>
          <w:szCs w:val="24"/>
        </w:rPr>
        <w:tab/>
        <w:t>Plested BA, Edwards RW, Jumper-Thurman P. A Handbook for Successful Change [Internet]. Colorado State University; 2006. Available from: www.TriEthnicCenter.ColoState.edu</w:t>
      </w:r>
    </w:p>
    <w:p w14:paraId="148DCC11"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10. </w:t>
      </w:r>
      <w:r w:rsidRPr="00B60903">
        <w:rPr>
          <w:noProof/>
          <w:sz w:val="24"/>
          <w:szCs w:val="24"/>
        </w:rPr>
        <w:tab/>
        <w:t xml:space="preserve">Jarpe-Ratner E, Fagen M, Day J, </w:t>
      </w:r>
      <w:r w:rsidRPr="00B60903">
        <w:rPr>
          <w:noProof/>
          <w:sz w:val="24"/>
          <w:szCs w:val="24"/>
        </w:rPr>
        <w:lastRenderedPageBreak/>
        <w:t xml:space="preserve">Gilmet K, Prudowsky J, Neiger BL, et al. Using the Community Readiness Model as an Approach to Formative Evaluation. Health Promot Pract. 2013;14(5):649–55. </w:t>
      </w:r>
    </w:p>
    <w:p w14:paraId="1EDA68EB"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11. </w:t>
      </w:r>
      <w:r w:rsidRPr="00B60903">
        <w:rPr>
          <w:noProof/>
          <w:sz w:val="24"/>
          <w:szCs w:val="24"/>
        </w:rPr>
        <w:tab/>
        <w:t xml:space="preserve">Rohmah N, Subirman, Iriyani. Pendidikan Gizi Anak Sekolah Dasar Pada Daerah Hutan Hujan Tropis Kalimantan Timur. Higiene. 2016;2(3):122–5. </w:t>
      </w:r>
    </w:p>
    <w:p w14:paraId="3BF7B073" w14:textId="48DD2612"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12. </w:t>
      </w:r>
      <w:r w:rsidRPr="00B60903">
        <w:rPr>
          <w:noProof/>
          <w:sz w:val="24"/>
          <w:szCs w:val="24"/>
        </w:rPr>
        <w:tab/>
        <w:t>Lewallen</w:t>
      </w:r>
      <w:r w:rsidR="00C743C3">
        <w:rPr>
          <w:noProof/>
          <w:sz w:val="24"/>
          <w:szCs w:val="24"/>
        </w:rPr>
        <w:t xml:space="preserve"> TC </w:t>
      </w:r>
      <w:r w:rsidRPr="00B60903">
        <w:rPr>
          <w:noProof/>
          <w:sz w:val="24"/>
          <w:szCs w:val="24"/>
        </w:rPr>
        <w:t xml:space="preserve">, H Hunt WP. The Whole School , Whole Community , Whole Child Model : A New Approach for Improving Educational Attainment and Healthy Development for Students *. 2015;85(11):729–39. </w:t>
      </w:r>
    </w:p>
    <w:p w14:paraId="283904A5"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13. </w:t>
      </w:r>
      <w:r w:rsidRPr="00B60903">
        <w:rPr>
          <w:noProof/>
          <w:sz w:val="24"/>
          <w:szCs w:val="24"/>
        </w:rPr>
        <w:tab/>
        <w:t xml:space="preserve">Octaria Y, Apriningsih A, Dwiriani CM, Februhartanty J. School readiness to adopt a school-based adolescent nutrition intervention in urban Indonesia. Public Health Nutr. 2020 May 7;1(1):1–12. </w:t>
      </w:r>
    </w:p>
    <w:p w14:paraId="2E73F1C1"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14. </w:t>
      </w:r>
      <w:r w:rsidRPr="00B60903">
        <w:rPr>
          <w:noProof/>
          <w:sz w:val="24"/>
          <w:szCs w:val="24"/>
        </w:rPr>
        <w:tab/>
        <w:t xml:space="preserve">Vir SC. Improving women’s nutrition imperative for rapid reduction of childhood stunting in South Asia: Coupling of nutrition specific interventions with nutrition sensitive measures essential. Matern Child Nutr. 2016;12:72–90. </w:t>
      </w:r>
    </w:p>
    <w:p w14:paraId="310E3B5A" w14:textId="2E37EB3C"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15. </w:t>
      </w:r>
      <w:r w:rsidRPr="00B60903">
        <w:rPr>
          <w:noProof/>
          <w:sz w:val="24"/>
          <w:szCs w:val="24"/>
        </w:rPr>
        <w:tab/>
        <w:t>Kemen</w:t>
      </w:r>
      <w:r w:rsidR="009B60E3">
        <w:rPr>
          <w:noProof/>
          <w:sz w:val="24"/>
          <w:szCs w:val="24"/>
        </w:rPr>
        <w:t xml:space="preserve">terian </w:t>
      </w:r>
      <w:r w:rsidRPr="00B60903">
        <w:rPr>
          <w:noProof/>
          <w:sz w:val="24"/>
          <w:szCs w:val="24"/>
        </w:rPr>
        <w:t>Kes</w:t>
      </w:r>
      <w:r w:rsidR="009B60E3">
        <w:rPr>
          <w:noProof/>
          <w:sz w:val="24"/>
          <w:szCs w:val="24"/>
        </w:rPr>
        <w:t>ehatan</w:t>
      </w:r>
      <w:r w:rsidRPr="00B60903">
        <w:rPr>
          <w:noProof/>
          <w:sz w:val="24"/>
          <w:szCs w:val="24"/>
        </w:rPr>
        <w:t xml:space="preserve"> RI. Rencana Strategis Kementrian Kesehatan Tahun 2105-2019 [Internet]. INDONESIA; 2014. Report No.: HK.02.02/MENKES/52/2015. Available from: www.depkes.go.id/resources/download/info-publik/Renstra-2015.pdf%0A</w:t>
      </w:r>
    </w:p>
    <w:p w14:paraId="0A07B50E"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16. </w:t>
      </w:r>
      <w:r w:rsidRPr="00B60903">
        <w:rPr>
          <w:noProof/>
          <w:sz w:val="24"/>
          <w:szCs w:val="24"/>
        </w:rPr>
        <w:tab/>
        <w:t xml:space="preserve">Hapsari DI, Pamungkas ID, Anna S, Suhartono E, Hernawati RI, Pratiwi RD. Manajemen Operasional dan pada Organisasi Karang Taruna di Gunung Pati Kota Semarang Digitalisasi. J Pengabdi Kpd Masy. 2022;02(1):785–92. </w:t>
      </w:r>
    </w:p>
    <w:p w14:paraId="64B986E4" w14:textId="62276C19"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17. </w:t>
      </w:r>
      <w:r w:rsidRPr="00B60903">
        <w:rPr>
          <w:noProof/>
          <w:sz w:val="24"/>
          <w:szCs w:val="24"/>
        </w:rPr>
        <w:tab/>
        <w:t>Malhotra</w:t>
      </w:r>
      <w:r w:rsidR="00C743C3">
        <w:rPr>
          <w:noProof/>
          <w:sz w:val="24"/>
          <w:szCs w:val="24"/>
        </w:rPr>
        <w:t xml:space="preserve"> S</w:t>
      </w:r>
      <w:r w:rsidRPr="00B60903">
        <w:rPr>
          <w:noProof/>
          <w:sz w:val="24"/>
          <w:szCs w:val="24"/>
        </w:rPr>
        <w:t xml:space="preserve">, Kapil Yadav, Y.S. Kusuma, Smita Sinha, Vikas Yadav CSP. Challenges in scaling up succesful publi health interventions: </w:t>
      </w:r>
      <w:r w:rsidRPr="00B60903">
        <w:rPr>
          <w:noProof/>
          <w:sz w:val="24"/>
          <w:szCs w:val="24"/>
        </w:rPr>
        <w:t xml:space="preserve">Lessons Learnt from resistance to a natioanwide roll-out of the weekly iron-folic acid supplementation programme for adolescents in India. Natl Med J India. 2015;28(2):81–5. </w:t>
      </w:r>
    </w:p>
    <w:p w14:paraId="3C78CA7F" w14:textId="15A6F0FB"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18. </w:t>
      </w:r>
      <w:r w:rsidRPr="00B60903">
        <w:rPr>
          <w:noProof/>
          <w:sz w:val="24"/>
          <w:szCs w:val="24"/>
        </w:rPr>
        <w:tab/>
        <w:t>Roche, Leslie Marion, Bury L, Isma NY, Asri EK, Pur</w:t>
      </w:r>
      <w:r w:rsidR="00C743C3">
        <w:rPr>
          <w:noProof/>
          <w:sz w:val="24"/>
          <w:szCs w:val="24"/>
        </w:rPr>
        <w:t>w</w:t>
      </w:r>
      <w:r w:rsidRPr="00B60903">
        <w:rPr>
          <w:noProof/>
          <w:sz w:val="24"/>
          <w:szCs w:val="24"/>
        </w:rPr>
        <w:t xml:space="preserve">anti TS, Kusyuniati S, Bhardwaj A ID. Adolescent girls’ nutrition and prevention of anaemia: a school based multisectoral collaboration in Indonesia. BMC Public Health. 2018;363:k4531:1–6. </w:t>
      </w:r>
    </w:p>
    <w:p w14:paraId="00FD32AC"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19. </w:t>
      </w:r>
      <w:r w:rsidRPr="00B60903">
        <w:rPr>
          <w:noProof/>
          <w:sz w:val="24"/>
          <w:szCs w:val="24"/>
        </w:rPr>
        <w:tab/>
        <w:t xml:space="preserve">Puspikawati SI, Megatsari H. Pengaruh Pendidikan Sebaya Terhadap Pengetahuan Kesehatan Repoduksi Remaja Di Karang Taruna Kabupaten Banyuwangi. J Public Heal Res Community Heal Dev. 2019;1(2):80. </w:t>
      </w:r>
    </w:p>
    <w:p w14:paraId="0C8D9D5F" w14:textId="61F64D32"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20. </w:t>
      </w:r>
      <w:r w:rsidRPr="00B60903">
        <w:rPr>
          <w:noProof/>
          <w:sz w:val="24"/>
          <w:szCs w:val="24"/>
        </w:rPr>
        <w:tab/>
        <w:t xml:space="preserve">Simanungkalit SF, </w:t>
      </w:r>
      <w:r w:rsidR="00C743C3">
        <w:rPr>
          <w:noProof/>
          <w:sz w:val="24"/>
          <w:szCs w:val="24"/>
        </w:rPr>
        <w:t>Wahyuningtyas W.</w:t>
      </w:r>
      <w:r w:rsidRPr="00B60903">
        <w:rPr>
          <w:noProof/>
          <w:sz w:val="24"/>
          <w:szCs w:val="24"/>
        </w:rPr>
        <w:t>P</w:t>
      </w:r>
      <w:r w:rsidR="00C743C3">
        <w:rPr>
          <w:noProof/>
          <w:sz w:val="24"/>
          <w:szCs w:val="24"/>
        </w:rPr>
        <w:t>KM</w:t>
      </w:r>
      <w:r w:rsidRPr="00B60903">
        <w:rPr>
          <w:noProof/>
          <w:sz w:val="24"/>
          <w:szCs w:val="24"/>
        </w:rPr>
        <w:t xml:space="preserve"> Kelompok Kader Dalam Penyuluhan Cegah Anemia Pada Remajaputri Di Kelurahan Pasir Putih Depok. J Bisnis</w:t>
      </w:r>
      <w:r w:rsidR="00C743C3">
        <w:rPr>
          <w:noProof/>
          <w:sz w:val="24"/>
          <w:szCs w:val="24"/>
        </w:rPr>
        <w:t xml:space="preserve"> </w:t>
      </w:r>
      <w:r w:rsidRPr="00B60903">
        <w:rPr>
          <w:noProof/>
          <w:sz w:val="24"/>
          <w:szCs w:val="24"/>
        </w:rPr>
        <w:t>[Internet]. 2020;49–52. Available from: http://www.ejournal.upnjatim.ac.id/index.php/jbi/article/view/1737</w:t>
      </w:r>
    </w:p>
    <w:p w14:paraId="2FDAF16C"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21. </w:t>
      </w:r>
      <w:r w:rsidRPr="00B60903">
        <w:rPr>
          <w:noProof/>
          <w:sz w:val="24"/>
          <w:szCs w:val="24"/>
        </w:rPr>
        <w:tab/>
        <w:t xml:space="preserve">Astuti RW, Suryani I. Pemberdayaan Masyarakat Melalui Edukasi Kelompok Sebaya Sebagai Upaya Pencegahan Anemia Gizi Besi Pada Remaja. J Nutr. 2020;22(1):32–8. </w:t>
      </w:r>
    </w:p>
    <w:p w14:paraId="7D6C8C24"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22. </w:t>
      </w:r>
      <w:r w:rsidRPr="00B60903">
        <w:rPr>
          <w:noProof/>
          <w:sz w:val="24"/>
          <w:szCs w:val="24"/>
        </w:rPr>
        <w:tab/>
        <w:t xml:space="preserve">Plested BA, Jumper-thurman P, Edwards RW. Community Readiness Manual. The national Center for Community Readiness Ethnic Studies Department. Colorado State University. 2009. 65 p. </w:t>
      </w:r>
    </w:p>
    <w:p w14:paraId="484949B6" w14:textId="77777777" w:rsidR="00B60903" w:rsidRPr="00B60903" w:rsidRDefault="00B60903" w:rsidP="00B60903">
      <w:pPr>
        <w:widowControl w:val="0"/>
        <w:autoSpaceDE w:val="0"/>
        <w:autoSpaceDN w:val="0"/>
        <w:adjustRightInd w:val="0"/>
        <w:spacing w:before="80"/>
        <w:ind w:left="640" w:hanging="640"/>
        <w:rPr>
          <w:noProof/>
          <w:sz w:val="24"/>
          <w:szCs w:val="24"/>
        </w:rPr>
      </w:pPr>
      <w:r w:rsidRPr="00B60903">
        <w:rPr>
          <w:noProof/>
          <w:sz w:val="24"/>
          <w:szCs w:val="24"/>
        </w:rPr>
        <w:t xml:space="preserve">23. </w:t>
      </w:r>
      <w:r w:rsidRPr="00B60903">
        <w:rPr>
          <w:noProof/>
          <w:sz w:val="24"/>
          <w:szCs w:val="24"/>
        </w:rPr>
        <w:tab/>
        <w:t xml:space="preserve">Whelan J, Love P, Millar L, Allender S, Morley C, Bell C. A rural community moves closer to sustainable obesity prevention - an exploration of community readiness pre and post a community-based participatory intervention. BMC Public Health. 2019;19(1):1420. </w:t>
      </w:r>
    </w:p>
    <w:p w14:paraId="3E9D9A51" w14:textId="77777777" w:rsidR="00B60903" w:rsidRPr="00B60903" w:rsidRDefault="00B60903" w:rsidP="00B60903">
      <w:pPr>
        <w:widowControl w:val="0"/>
        <w:autoSpaceDE w:val="0"/>
        <w:autoSpaceDN w:val="0"/>
        <w:adjustRightInd w:val="0"/>
        <w:spacing w:before="80"/>
        <w:ind w:left="640" w:hanging="640"/>
        <w:rPr>
          <w:noProof/>
          <w:sz w:val="24"/>
        </w:rPr>
      </w:pPr>
      <w:r w:rsidRPr="00B60903">
        <w:rPr>
          <w:noProof/>
          <w:sz w:val="24"/>
          <w:szCs w:val="24"/>
        </w:rPr>
        <w:t xml:space="preserve">24. </w:t>
      </w:r>
      <w:r w:rsidRPr="00B60903">
        <w:rPr>
          <w:noProof/>
          <w:sz w:val="24"/>
          <w:szCs w:val="24"/>
        </w:rPr>
        <w:tab/>
        <w:t xml:space="preserve">Kostadinov I, Daniel M, Jones M, </w:t>
      </w:r>
      <w:r w:rsidRPr="00B60903">
        <w:rPr>
          <w:noProof/>
          <w:sz w:val="24"/>
          <w:szCs w:val="24"/>
        </w:rPr>
        <w:lastRenderedPageBreak/>
        <w:t xml:space="preserve">Cargo M. Assessing change in perceived community leadership readiness in the Obesity Prevention and Lifestyle program. Heal Promot J Aust. 2016; </w:t>
      </w:r>
    </w:p>
    <w:p w14:paraId="63E4FF6E" w14:textId="26CEE8D6" w:rsidR="00FF4EE8" w:rsidRDefault="00FF4EE8" w:rsidP="004F4794">
      <w:pPr>
        <w:pStyle w:val="BodyText"/>
        <w:spacing w:before="89"/>
        <w:ind w:left="0" w:right="89" w:firstLine="426"/>
        <w:rPr>
          <w:lang w:val="id-ID"/>
        </w:rPr>
      </w:pPr>
      <w:r>
        <w:rPr>
          <w:lang w:val="id-ID"/>
        </w:rPr>
        <w:fldChar w:fldCharType="end"/>
      </w:r>
    </w:p>
    <w:sectPr w:rsidR="00FF4EE8" w:rsidSect="0058179D">
      <w:type w:val="continuous"/>
      <w:pgSz w:w="11906" w:h="16838"/>
      <w:pgMar w:top="1440" w:right="1077" w:bottom="1440" w:left="1077" w:header="710" w:footer="276" w:gutter="0"/>
      <w:cols w:num="2" w:space="99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E9FE" w14:textId="77777777" w:rsidR="00C75A03" w:rsidRDefault="00C75A03">
      <w:r>
        <w:separator/>
      </w:r>
    </w:p>
  </w:endnote>
  <w:endnote w:type="continuationSeparator" w:id="0">
    <w:p w14:paraId="7B56B364" w14:textId="77777777" w:rsidR="00C75A03" w:rsidRDefault="00C7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A00002AF" w:usb1="500078FB" w:usb2="00000000" w:usb3="00000000" w:csb0="0000009F" w:csb1="00000000"/>
  </w:font>
  <w:font w:name="Noto Sans CJK SC Regular">
    <w:charset w:val="00"/>
    <w:family w:val="roman"/>
    <w:pitch w:val="default"/>
  </w:font>
  <w:font w:name="FreeSans">
    <w:altName w:val="Cambria"/>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03622"/>
      <w:docPartObj>
        <w:docPartGallery w:val="Page Numbers (Bottom of Page)"/>
        <w:docPartUnique/>
      </w:docPartObj>
    </w:sdtPr>
    <w:sdtEndPr>
      <w:rPr>
        <w:noProof/>
      </w:rPr>
    </w:sdtEndPr>
    <w:sdtContent>
      <w:p w14:paraId="296FD423" w14:textId="77777777" w:rsidR="006A7E91" w:rsidRPr="008C1544" w:rsidRDefault="006A7E91" w:rsidP="006A7E91">
        <w:pPr>
          <w:pStyle w:val="Footer"/>
        </w:pPr>
      </w:p>
      <w:p w14:paraId="422A0C12" w14:textId="77777777" w:rsidR="006A7E91" w:rsidRDefault="006A7E91" w:rsidP="006A7E91">
        <w:pPr>
          <w:pStyle w:val="Footer"/>
        </w:pPr>
      </w:p>
      <w:p w14:paraId="621DE1B5" w14:textId="77777777" w:rsidR="006A7E91" w:rsidRDefault="006A7E91" w:rsidP="006A7E91">
        <w:pPr>
          <w:pStyle w:val="Footer"/>
          <w:rPr>
            <w:noProof/>
          </w:rPr>
        </w:pPr>
        <w:r w:rsidRPr="008C1544">
          <w:t>Vol. 14 No 1 2020</w:t>
        </w:r>
        <w:r w:rsidRPr="008C1544">
          <w:rPr>
            <w:shd w:val="clear" w:color="auto" w:fill="FFFFFF"/>
          </w:rPr>
          <w:t xml:space="preserve"> DOI: </w:t>
        </w:r>
        <w:r w:rsidRPr="008C1544">
          <w:rPr>
            <w:rStyle w:val="Hyperlink"/>
            <w:color w:val="auto"/>
            <w:u w:val="none"/>
            <w:shd w:val="clear" w:color="auto" w:fill="FFFFFF"/>
          </w:rPr>
          <w:t xml:space="preserve">                                 </w:t>
        </w:r>
        <w:r>
          <w:rPr>
            <w:rStyle w:val="Hyperlink"/>
            <w:color w:val="auto"/>
            <w:u w:val="none"/>
            <w:shd w:val="clear" w:color="auto" w:fill="FFFFFF"/>
          </w:rPr>
          <w:t xml:space="preserve">                                                                         </w:t>
        </w:r>
        <w:r w:rsidRPr="008C1544">
          <w:rPr>
            <w:rStyle w:val="Hyperlink"/>
            <w:color w:val="auto"/>
            <w:u w:val="none"/>
            <w:shd w:val="clear" w:color="auto" w:fill="FFFFFF"/>
          </w:rPr>
          <w:t xml:space="preserve">                             </w:t>
        </w:r>
        <w:r>
          <w:fldChar w:fldCharType="begin"/>
        </w:r>
        <w:r>
          <w:instrText xml:space="preserve"> PAGE   \* MERGEFORMAT </w:instrText>
        </w:r>
        <w:r>
          <w:fldChar w:fldCharType="separate"/>
        </w:r>
        <w:r w:rsidR="00B27FAB">
          <w:rPr>
            <w:noProof/>
          </w:rPr>
          <w:t>1</w:t>
        </w:r>
        <w:r>
          <w:rPr>
            <w:noProof/>
          </w:rPr>
          <w:fldChar w:fldCharType="end"/>
        </w:r>
      </w:p>
    </w:sdtContent>
  </w:sdt>
  <w:p w14:paraId="2F68CE6C" w14:textId="77777777" w:rsidR="006A7E91" w:rsidRDefault="006A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FF50" w14:textId="77777777" w:rsidR="00C75A03" w:rsidRDefault="00C75A03">
      <w:r>
        <w:separator/>
      </w:r>
    </w:p>
  </w:footnote>
  <w:footnote w:type="continuationSeparator" w:id="0">
    <w:p w14:paraId="09C4C940" w14:textId="77777777" w:rsidR="00C75A03" w:rsidRDefault="00C75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4D5E" w14:textId="77777777" w:rsidR="004B2AAE" w:rsidRPr="00054A4E" w:rsidRDefault="004B2AAE" w:rsidP="004B2AAE">
    <w:pPr>
      <w:rPr>
        <w:color w:val="000000"/>
        <w:sz w:val="20"/>
      </w:rPr>
    </w:pPr>
    <w:r>
      <w:rPr>
        <w:color w:val="000000"/>
        <w:sz w:val="20"/>
      </w:rPr>
      <w:t xml:space="preserve">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    </w:t>
    </w:r>
    <w:proofErr w:type="spellStart"/>
    <w:r w:rsidRPr="00DA26EB">
      <w:rPr>
        <w:color w:val="000000"/>
        <w:sz w:val="20"/>
      </w:rPr>
      <w:t>Jurnal</w:t>
    </w:r>
    <w:proofErr w:type="spellEnd"/>
    <w:r w:rsidRPr="00DA26EB">
      <w:rPr>
        <w:color w:val="000000"/>
        <w:sz w:val="20"/>
      </w:rPr>
      <w:t xml:space="preserve"> </w:t>
    </w:r>
    <w:proofErr w:type="spellStart"/>
    <w:r w:rsidRPr="00DA26EB">
      <w:rPr>
        <w:color w:val="000000"/>
        <w:sz w:val="20"/>
      </w:rPr>
      <w:t>Profesi</w:t>
    </w:r>
    <w:proofErr w:type="spellEnd"/>
    <w:r w:rsidRPr="00DA26EB">
      <w:rPr>
        <w:color w:val="000000"/>
        <w:sz w:val="20"/>
      </w:rPr>
      <w:t xml:space="preserve"> </w:t>
    </w:r>
    <w:proofErr w:type="spellStart"/>
    <w:proofErr w:type="gramStart"/>
    <w:r w:rsidRPr="00DA26EB">
      <w:rPr>
        <w:color w:val="000000"/>
        <w:sz w:val="20"/>
      </w:rPr>
      <w:t>Medika</w:t>
    </w:r>
    <w:proofErr w:type="spellEnd"/>
    <w:r w:rsidRPr="00DA26EB">
      <w:rPr>
        <w:color w:val="000000"/>
        <w:sz w:val="20"/>
      </w:rPr>
      <w:t xml:space="preserve"> :</w:t>
    </w:r>
    <w:proofErr w:type="gramEnd"/>
    <w:r w:rsidRPr="00DA26EB">
      <w:rPr>
        <w:color w:val="000000"/>
        <w:sz w:val="20"/>
      </w:rPr>
      <w:t xml:space="preserve"> </w:t>
    </w:r>
    <w:proofErr w:type="spellStart"/>
    <w:r w:rsidRPr="00DA26EB">
      <w:rPr>
        <w:color w:val="000000"/>
        <w:sz w:val="20"/>
      </w:rPr>
      <w:t>Jurnal</w:t>
    </w:r>
    <w:proofErr w:type="spellEnd"/>
    <w:r w:rsidRPr="00DA26EB">
      <w:rPr>
        <w:color w:val="000000"/>
        <w:sz w:val="20"/>
      </w:rPr>
      <w:t xml:space="preserve"> </w:t>
    </w:r>
    <w:proofErr w:type="spellStart"/>
    <w:r w:rsidRPr="00DA26EB">
      <w:rPr>
        <w:color w:val="000000"/>
        <w:sz w:val="20"/>
      </w:rPr>
      <w:t>Kedokteran</w:t>
    </w:r>
    <w:proofErr w:type="spellEnd"/>
    <w:r w:rsidRPr="00DA26EB">
      <w:rPr>
        <w:color w:val="000000"/>
        <w:sz w:val="20"/>
      </w:rPr>
      <w:t xml:space="preserve"> dan </w:t>
    </w:r>
    <w:r>
      <w:rPr>
        <w:color w:val="000000"/>
        <w:sz w:val="20"/>
      </w:rPr>
      <w:t xml:space="preserve">                            </w:t>
    </w:r>
    <w:r w:rsidRPr="00DA26EB">
      <w:rPr>
        <w:color w:val="000000"/>
        <w:sz w:val="20"/>
      </w:rPr>
      <w:t>ISSN 0216-3438</w:t>
    </w:r>
    <w:r w:rsidRPr="00DA26EB">
      <w:rPr>
        <w:color w:val="000000"/>
        <w:sz w:val="20"/>
        <w:lang w:val="en-US"/>
      </w:rPr>
      <w:t xml:space="preserve"> (Print)</w:t>
    </w:r>
    <w:r w:rsidRPr="00DA26EB">
      <w:rPr>
        <w:color w:val="000000"/>
        <w:sz w:val="20"/>
      </w:rPr>
      <w:t xml:space="preserve">. </w:t>
    </w:r>
    <w:r w:rsidRPr="00DA26EB">
      <w:rPr>
        <w:color w:val="000000"/>
        <w:sz w:val="20"/>
        <w:lang w:val="en-US"/>
      </w:rPr>
      <w:t xml:space="preserve">ISSN </w:t>
    </w:r>
    <w:r w:rsidRPr="00DA26EB">
      <w:rPr>
        <w:color w:val="000000"/>
        <w:sz w:val="20"/>
      </w:rPr>
      <w:t>2621-1122</w:t>
    </w:r>
    <w:r w:rsidRPr="00DA26EB">
      <w:rPr>
        <w:color w:val="000000"/>
        <w:sz w:val="20"/>
        <w:lang w:val="en-US"/>
      </w:rPr>
      <w:t xml:space="preserve"> (</w:t>
    </w:r>
    <w:proofErr w:type="gramStart"/>
    <w:r w:rsidRPr="00DA26EB">
      <w:rPr>
        <w:color w:val="000000"/>
        <w:sz w:val="20"/>
        <w:lang w:val="en-US"/>
      </w:rPr>
      <w:t>Online)</w:t>
    </w:r>
    <w:r>
      <w:rPr>
        <w:color w:val="000000"/>
        <w:sz w:val="20"/>
      </w:rPr>
      <w:t xml:space="preserve">   </w:t>
    </w:r>
    <w:proofErr w:type="gramEnd"/>
    <w:r>
      <w:rPr>
        <w:color w:val="000000"/>
        <w:sz w:val="20"/>
      </w:rPr>
      <w:t xml:space="preserve">                                                                                            </w:t>
    </w:r>
    <w:r w:rsidRPr="00DA26EB">
      <w:rPr>
        <w:color w:val="000000"/>
        <w:sz w:val="20"/>
      </w:rPr>
      <w:t>Kesehatan</w:t>
    </w:r>
  </w:p>
  <w:p w14:paraId="31BABEBB" w14:textId="77777777" w:rsidR="004B2AAE" w:rsidRDefault="004B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F7162"/>
    <w:multiLevelType w:val="hybridMultilevel"/>
    <w:tmpl w:val="05665562"/>
    <w:lvl w:ilvl="0" w:tplc="99E8D83C">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02532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F56"/>
    <w:rsid w:val="0001269A"/>
    <w:rsid w:val="00017E85"/>
    <w:rsid w:val="00017F06"/>
    <w:rsid w:val="000403D6"/>
    <w:rsid w:val="00044B21"/>
    <w:rsid w:val="00075328"/>
    <w:rsid w:val="000A7B19"/>
    <w:rsid w:val="000B6998"/>
    <w:rsid w:val="000C04A8"/>
    <w:rsid w:val="000C154D"/>
    <w:rsid w:val="000D23BF"/>
    <w:rsid w:val="000D601F"/>
    <w:rsid w:val="00110026"/>
    <w:rsid w:val="00115881"/>
    <w:rsid w:val="0012000F"/>
    <w:rsid w:val="00133E84"/>
    <w:rsid w:val="001426B1"/>
    <w:rsid w:val="00165578"/>
    <w:rsid w:val="00182185"/>
    <w:rsid w:val="001B243D"/>
    <w:rsid w:val="001B3847"/>
    <w:rsid w:val="001B4C45"/>
    <w:rsid w:val="001C196C"/>
    <w:rsid w:val="001D4323"/>
    <w:rsid w:val="001E46A3"/>
    <w:rsid w:val="001F16C7"/>
    <w:rsid w:val="001F2C66"/>
    <w:rsid w:val="001F595E"/>
    <w:rsid w:val="001F6503"/>
    <w:rsid w:val="00200E2F"/>
    <w:rsid w:val="00201813"/>
    <w:rsid w:val="00206961"/>
    <w:rsid w:val="0024510B"/>
    <w:rsid w:val="00270E35"/>
    <w:rsid w:val="002765CF"/>
    <w:rsid w:val="002A061D"/>
    <w:rsid w:val="002A1C4A"/>
    <w:rsid w:val="002C020D"/>
    <w:rsid w:val="002D043E"/>
    <w:rsid w:val="002E6D65"/>
    <w:rsid w:val="00306254"/>
    <w:rsid w:val="00351EE2"/>
    <w:rsid w:val="003722A0"/>
    <w:rsid w:val="00397C9B"/>
    <w:rsid w:val="003C5821"/>
    <w:rsid w:val="003E375C"/>
    <w:rsid w:val="003E6EB4"/>
    <w:rsid w:val="003F70C5"/>
    <w:rsid w:val="003F724C"/>
    <w:rsid w:val="003F75B4"/>
    <w:rsid w:val="004075A2"/>
    <w:rsid w:val="00425BFC"/>
    <w:rsid w:val="00426BCE"/>
    <w:rsid w:val="00434781"/>
    <w:rsid w:val="0045105C"/>
    <w:rsid w:val="00483DCD"/>
    <w:rsid w:val="0049122C"/>
    <w:rsid w:val="004A0D47"/>
    <w:rsid w:val="004A31D0"/>
    <w:rsid w:val="004B081B"/>
    <w:rsid w:val="004B2AAE"/>
    <w:rsid w:val="004F4794"/>
    <w:rsid w:val="00514B17"/>
    <w:rsid w:val="00524EEF"/>
    <w:rsid w:val="00532DA7"/>
    <w:rsid w:val="00534F1E"/>
    <w:rsid w:val="0054117F"/>
    <w:rsid w:val="00546BBD"/>
    <w:rsid w:val="00566549"/>
    <w:rsid w:val="005712B1"/>
    <w:rsid w:val="0058179D"/>
    <w:rsid w:val="00586131"/>
    <w:rsid w:val="005873A3"/>
    <w:rsid w:val="005916C4"/>
    <w:rsid w:val="00596417"/>
    <w:rsid w:val="005C0383"/>
    <w:rsid w:val="005D4B57"/>
    <w:rsid w:val="005E1A80"/>
    <w:rsid w:val="005E6EF9"/>
    <w:rsid w:val="00602DB5"/>
    <w:rsid w:val="006063D3"/>
    <w:rsid w:val="00612D1D"/>
    <w:rsid w:val="0061456E"/>
    <w:rsid w:val="00622DE7"/>
    <w:rsid w:val="00661BD0"/>
    <w:rsid w:val="00671B26"/>
    <w:rsid w:val="006A7E91"/>
    <w:rsid w:val="006B569E"/>
    <w:rsid w:val="006B57CE"/>
    <w:rsid w:val="006C3288"/>
    <w:rsid w:val="006E0A41"/>
    <w:rsid w:val="006E5DA3"/>
    <w:rsid w:val="006F189B"/>
    <w:rsid w:val="006F719C"/>
    <w:rsid w:val="00715F9A"/>
    <w:rsid w:val="00720920"/>
    <w:rsid w:val="00721298"/>
    <w:rsid w:val="00740891"/>
    <w:rsid w:val="00747E26"/>
    <w:rsid w:val="00750312"/>
    <w:rsid w:val="00773549"/>
    <w:rsid w:val="00777F86"/>
    <w:rsid w:val="00787B4D"/>
    <w:rsid w:val="007B46BB"/>
    <w:rsid w:val="007D0582"/>
    <w:rsid w:val="007D53D1"/>
    <w:rsid w:val="007E2791"/>
    <w:rsid w:val="00835419"/>
    <w:rsid w:val="0084078A"/>
    <w:rsid w:val="008707F1"/>
    <w:rsid w:val="008725A2"/>
    <w:rsid w:val="00880A04"/>
    <w:rsid w:val="008830CC"/>
    <w:rsid w:val="00891745"/>
    <w:rsid w:val="00897988"/>
    <w:rsid w:val="008A7246"/>
    <w:rsid w:val="008C2B05"/>
    <w:rsid w:val="008C6568"/>
    <w:rsid w:val="008E4197"/>
    <w:rsid w:val="00922A86"/>
    <w:rsid w:val="009259EB"/>
    <w:rsid w:val="009267F5"/>
    <w:rsid w:val="00936AFF"/>
    <w:rsid w:val="0094315D"/>
    <w:rsid w:val="00961382"/>
    <w:rsid w:val="00964AE5"/>
    <w:rsid w:val="0099699B"/>
    <w:rsid w:val="009A4942"/>
    <w:rsid w:val="009A5CF3"/>
    <w:rsid w:val="009B60E3"/>
    <w:rsid w:val="009D6E80"/>
    <w:rsid w:val="009E01FD"/>
    <w:rsid w:val="009E0924"/>
    <w:rsid w:val="00A20D41"/>
    <w:rsid w:val="00A25667"/>
    <w:rsid w:val="00A449BD"/>
    <w:rsid w:val="00A66BC7"/>
    <w:rsid w:val="00A713B6"/>
    <w:rsid w:val="00AB59E4"/>
    <w:rsid w:val="00AD6364"/>
    <w:rsid w:val="00AD6F56"/>
    <w:rsid w:val="00AE5F39"/>
    <w:rsid w:val="00B060FE"/>
    <w:rsid w:val="00B27FAB"/>
    <w:rsid w:val="00B566F9"/>
    <w:rsid w:val="00B60903"/>
    <w:rsid w:val="00B61E4B"/>
    <w:rsid w:val="00B91E9B"/>
    <w:rsid w:val="00B9403A"/>
    <w:rsid w:val="00BA09D5"/>
    <w:rsid w:val="00BE14F9"/>
    <w:rsid w:val="00BF1D25"/>
    <w:rsid w:val="00BF48FF"/>
    <w:rsid w:val="00BF7A81"/>
    <w:rsid w:val="00C02158"/>
    <w:rsid w:val="00C624F1"/>
    <w:rsid w:val="00C743C3"/>
    <w:rsid w:val="00C75A03"/>
    <w:rsid w:val="00CA4D18"/>
    <w:rsid w:val="00CC7927"/>
    <w:rsid w:val="00CD2945"/>
    <w:rsid w:val="00CF0238"/>
    <w:rsid w:val="00CF7DCD"/>
    <w:rsid w:val="00D06988"/>
    <w:rsid w:val="00D11BB8"/>
    <w:rsid w:val="00D20A50"/>
    <w:rsid w:val="00D32254"/>
    <w:rsid w:val="00D3521F"/>
    <w:rsid w:val="00D46365"/>
    <w:rsid w:val="00D67CD7"/>
    <w:rsid w:val="00DA1583"/>
    <w:rsid w:val="00DB15E0"/>
    <w:rsid w:val="00DB1CCE"/>
    <w:rsid w:val="00DC0BA9"/>
    <w:rsid w:val="00DE12DE"/>
    <w:rsid w:val="00DE2133"/>
    <w:rsid w:val="00DE6381"/>
    <w:rsid w:val="00DF2A46"/>
    <w:rsid w:val="00E03157"/>
    <w:rsid w:val="00E3045B"/>
    <w:rsid w:val="00E377C5"/>
    <w:rsid w:val="00E52DEB"/>
    <w:rsid w:val="00E5363A"/>
    <w:rsid w:val="00E700F1"/>
    <w:rsid w:val="00E71E9B"/>
    <w:rsid w:val="00EA1142"/>
    <w:rsid w:val="00F04677"/>
    <w:rsid w:val="00F0697B"/>
    <w:rsid w:val="00F23ACC"/>
    <w:rsid w:val="00F31353"/>
    <w:rsid w:val="00F33470"/>
    <w:rsid w:val="00F3603B"/>
    <w:rsid w:val="00F440A6"/>
    <w:rsid w:val="00FA3931"/>
    <w:rsid w:val="00FB4B0B"/>
    <w:rsid w:val="00FC0F04"/>
    <w:rsid w:val="00FC299B"/>
    <w:rsid w:val="00FD7C37"/>
    <w:rsid w:val="00FF4EE8"/>
  </w:rsids>
  <m:mathPr>
    <m:mathFont m:val="Cambria Math"/>
    <m:brkBin m:val="before"/>
    <m:brkBinSub m:val="--"/>
    <m:smallFrac m:val="0"/>
    <m:dispDef/>
    <m:lMargin m:val="0"/>
    <m:rMargin m:val="0"/>
    <m:defJc m:val="centerGroup"/>
    <m:wrapIndent m:val="1440"/>
    <m:intLim m:val="subSup"/>
    <m:naryLim m:val="undOvr"/>
  </m:mathPr>
  <w:themeFontLang w:val="id-ID"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7C2F8"/>
  <w15:docId w15:val="{FDCF240D-52D2-4002-ACD6-F0A41F4A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2C70"/>
    <w:rPr>
      <w:rFonts w:ascii="Times New Roman" w:eastAsia="Times New Roman" w:hAnsi="Times New Roman" w:cs="Times New Roman"/>
      <w:lang w:val="en-GB" w:eastAsia="en-GB" w:bidi="en-GB"/>
    </w:rPr>
  </w:style>
  <w:style w:type="paragraph" w:styleId="Heading1">
    <w:name w:val="heading 1"/>
    <w:basedOn w:val="Normal"/>
    <w:uiPriority w:val="1"/>
    <w:qFormat/>
    <w:rsid w:val="00FE2C70"/>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17C5A"/>
    <w:rPr>
      <w:rFonts w:ascii="Times New Roman" w:eastAsia="Times New Roman" w:hAnsi="Times New Roman" w:cs="Times New Roman"/>
      <w:lang w:val="en-GB" w:eastAsia="en-GB" w:bidi="en-GB"/>
    </w:rPr>
  </w:style>
  <w:style w:type="character" w:customStyle="1" w:styleId="FooterChar">
    <w:name w:val="Footer Char"/>
    <w:basedOn w:val="DefaultParagraphFont"/>
    <w:link w:val="Footer"/>
    <w:uiPriority w:val="99"/>
    <w:qFormat/>
    <w:rsid w:val="00A17C5A"/>
    <w:rPr>
      <w:rFonts w:ascii="Times New Roman" w:eastAsia="Times New Roman" w:hAnsi="Times New Roman" w:cs="Times New Roman"/>
      <w:lang w:val="en-GB" w:eastAsia="en-GB" w:bidi="en-GB"/>
    </w:rPr>
  </w:style>
  <w:style w:type="character" w:customStyle="1" w:styleId="BalloonTextChar">
    <w:name w:val="Balloon Text Char"/>
    <w:basedOn w:val="DefaultParagraphFont"/>
    <w:link w:val="BalloonText"/>
    <w:uiPriority w:val="99"/>
    <w:semiHidden/>
    <w:qFormat/>
    <w:rsid w:val="00A17C5A"/>
    <w:rPr>
      <w:rFonts w:ascii="Tahoma" w:eastAsia="Times New Roman" w:hAnsi="Tahoma" w:cs="Tahoma"/>
      <w:sz w:val="16"/>
      <w:szCs w:val="16"/>
      <w:lang w:val="en-GB" w:eastAsia="en-GB" w:bidi="en-GB"/>
    </w:rPr>
  </w:style>
  <w:style w:type="character" w:customStyle="1" w:styleId="ListLabel1">
    <w:name w:val="ListLabel 1"/>
    <w:qFormat/>
    <w:rPr>
      <w:rFonts w:eastAsia="Times New Roman" w:cs="Times New Roman"/>
      <w:spacing w:val="-25"/>
      <w:w w:val="99"/>
      <w:sz w:val="24"/>
      <w:szCs w:val="24"/>
      <w:lang w:val="en-GB" w:eastAsia="en-GB" w:bidi="en-GB"/>
    </w:rPr>
  </w:style>
  <w:style w:type="character" w:customStyle="1" w:styleId="ListLabel2">
    <w:name w:val="ListLabel 2"/>
    <w:qFormat/>
    <w:rPr>
      <w:lang w:val="en-GB" w:eastAsia="en-GB" w:bidi="en-GB"/>
    </w:rPr>
  </w:style>
  <w:style w:type="character" w:customStyle="1" w:styleId="ListLabel3">
    <w:name w:val="ListLabel 3"/>
    <w:qFormat/>
    <w:rPr>
      <w:lang w:val="en-GB" w:eastAsia="en-GB" w:bidi="en-GB"/>
    </w:rPr>
  </w:style>
  <w:style w:type="character" w:customStyle="1" w:styleId="ListLabel4">
    <w:name w:val="ListLabel 4"/>
    <w:qFormat/>
    <w:rPr>
      <w:lang w:val="en-GB" w:eastAsia="en-GB" w:bidi="en-GB"/>
    </w:rPr>
  </w:style>
  <w:style w:type="character" w:customStyle="1" w:styleId="ListLabel5">
    <w:name w:val="ListLabel 5"/>
    <w:qFormat/>
    <w:rPr>
      <w:lang w:val="en-GB" w:eastAsia="en-GB" w:bidi="en-GB"/>
    </w:rPr>
  </w:style>
  <w:style w:type="character" w:customStyle="1" w:styleId="ListLabel6">
    <w:name w:val="ListLabel 6"/>
    <w:qFormat/>
    <w:rPr>
      <w:lang w:val="en-GB" w:eastAsia="en-GB" w:bidi="en-GB"/>
    </w:rPr>
  </w:style>
  <w:style w:type="character" w:customStyle="1" w:styleId="ListLabel7">
    <w:name w:val="ListLabel 7"/>
    <w:qFormat/>
    <w:rPr>
      <w:lang w:val="en-GB" w:eastAsia="en-GB" w:bidi="en-GB"/>
    </w:rPr>
  </w:style>
  <w:style w:type="character" w:customStyle="1" w:styleId="ListLabel8">
    <w:name w:val="ListLabel 8"/>
    <w:qFormat/>
    <w:rPr>
      <w:lang w:val="en-GB" w:eastAsia="en-GB" w:bidi="en-GB"/>
    </w:rPr>
  </w:style>
  <w:style w:type="character" w:customStyle="1" w:styleId="ListLabel9">
    <w:name w:val="ListLabel 9"/>
    <w:qFormat/>
    <w:rPr>
      <w:lang w:val="en-GB" w:eastAsia="en-GB" w:bidi="en-GB"/>
    </w:rPr>
  </w:style>
  <w:style w:type="character" w:customStyle="1" w:styleId="ListLabel10">
    <w:name w:val="ListLabel 10"/>
    <w:qFormat/>
    <w:rPr>
      <w:rFonts w:eastAsia="Times New Roman" w:cs="Times New Roman"/>
      <w:spacing w:val="-6"/>
      <w:w w:val="99"/>
      <w:sz w:val="24"/>
      <w:szCs w:val="24"/>
      <w:lang w:val="en-GB" w:eastAsia="en-GB" w:bidi="en-GB"/>
    </w:rPr>
  </w:style>
  <w:style w:type="character" w:customStyle="1" w:styleId="ListLabel11">
    <w:name w:val="ListLabel 11"/>
    <w:qFormat/>
    <w:rPr>
      <w:lang w:val="en-GB" w:eastAsia="en-GB" w:bidi="en-GB"/>
    </w:rPr>
  </w:style>
  <w:style w:type="character" w:customStyle="1" w:styleId="ListLabel12">
    <w:name w:val="ListLabel 12"/>
    <w:qFormat/>
    <w:rPr>
      <w:lang w:val="en-GB" w:eastAsia="en-GB" w:bidi="en-GB"/>
    </w:rPr>
  </w:style>
  <w:style w:type="character" w:customStyle="1" w:styleId="ListLabel13">
    <w:name w:val="ListLabel 13"/>
    <w:qFormat/>
    <w:rPr>
      <w:lang w:val="en-GB" w:eastAsia="en-GB" w:bidi="en-GB"/>
    </w:rPr>
  </w:style>
  <w:style w:type="character" w:customStyle="1" w:styleId="ListLabel14">
    <w:name w:val="ListLabel 14"/>
    <w:qFormat/>
    <w:rPr>
      <w:lang w:val="en-GB" w:eastAsia="en-GB" w:bidi="en-GB"/>
    </w:rPr>
  </w:style>
  <w:style w:type="character" w:customStyle="1" w:styleId="ListLabel15">
    <w:name w:val="ListLabel 15"/>
    <w:qFormat/>
    <w:rPr>
      <w:lang w:val="en-GB" w:eastAsia="en-GB" w:bidi="en-GB"/>
    </w:rPr>
  </w:style>
  <w:style w:type="character" w:customStyle="1" w:styleId="ListLabel16">
    <w:name w:val="ListLabel 16"/>
    <w:qFormat/>
    <w:rPr>
      <w:lang w:val="en-GB" w:eastAsia="en-GB" w:bidi="en-GB"/>
    </w:rPr>
  </w:style>
  <w:style w:type="character" w:customStyle="1" w:styleId="ListLabel17">
    <w:name w:val="ListLabel 17"/>
    <w:qFormat/>
    <w:rPr>
      <w:lang w:val="en-GB" w:eastAsia="en-GB" w:bidi="en-GB"/>
    </w:rPr>
  </w:style>
  <w:style w:type="character" w:customStyle="1" w:styleId="ListLabel18">
    <w:name w:val="ListLabel 18"/>
    <w:qFormat/>
    <w:rPr>
      <w:lang w:val="en-GB" w:eastAsia="en-GB" w:bidi="en-GB"/>
    </w:rPr>
  </w:style>
  <w:style w:type="character" w:customStyle="1" w:styleId="ListLabel19">
    <w:name w:val="ListLabel 19"/>
    <w:qFormat/>
    <w:rPr>
      <w:spacing w:val="-9"/>
      <w:w w:val="99"/>
      <w:lang w:val="en-GB" w:eastAsia="en-GB" w:bidi="en-GB"/>
    </w:rPr>
  </w:style>
  <w:style w:type="character" w:customStyle="1" w:styleId="ListLabel20">
    <w:name w:val="ListLabel 20"/>
    <w:qFormat/>
    <w:rPr>
      <w:lang w:val="en-GB" w:eastAsia="en-GB" w:bidi="en-GB"/>
    </w:rPr>
  </w:style>
  <w:style w:type="character" w:customStyle="1" w:styleId="ListLabel21">
    <w:name w:val="ListLabel 21"/>
    <w:qFormat/>
    <w:rPr>
      <w:lang w:val="en-GB" w:eastAsia="en-GB" w:bidi="en-GB"/>
    </w:rPr>
  </w:style>
  <w:style w:type="character" w:customStyle="1" w:styleId="ListLabel22">
    <w:name w:val="ListLabel 22"/>
    <w:qFormat/>
    <w:rPr>
      <w:lang w:val="en-GB" w:eastAsia="en-GB" w:bidi="en-GB"/>
    </w:rPr>
  </w:style>
  <w:style w:type="character" w:customStyle="1" w:styleId="ListLabel23">
    <w:name w:val="ListLabel 23"/>
    <w:qFormat/>
    <w:rPr>
      <w:lang w:val="en-GB" w:eastAsia="en-GB" w:bidi="en-GB"/>
    </w:rPr>
  </w:style>
  <w:style w:type="character" w:customStyle="1" w:styleId="ListLabel24">
    <w:name w:val="ListLabel 24"/>
    <w:qFormat/>
    <w:rPr>
      <w:lang w:val="en-GB" w:eastAsia="en-GB" w:bidi="en-GB"/>
    </w:rPr>
  </w:style>
  <w:style w:type="character" w:customStyle="1" w:styleId="ListLabel25">
    <w:name w:val="ListLabel 25"/>
    <w:qFormat/>
    <w:rPr>
      <w:lang w:val="en-GB" w:eastAsia="en-GB" w:bidi="en-GB"/>
    </w:rPr>
  </w:style>
  <w:style w:type="character" w:customStyle="1" w:styleId="ListLabel26">
    <w:name w:val="ListLabel 26"/>
    <w:qFormat/>
    <w:rPr>
      <w:lang w:val="en-GB" w:eastAsia="en-GB" w:bidi="en-GB"/>
    </w:rPr>
  </w:style>
  <w:style w:type="character" w:customStyle="1" w:styleId="ListLabel27">
    <w:name w:val="ListLabel 27"/>
    <w:qFormat/>
    <w:rPr>
      <w:lang w:val="en-GB" w:eastAsia="en-GB" w:bidi="en-GB"/>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uiPriority w:val="1"/>
    <w:qFormat/>
    <w:rsid w:val="00FE2C70"/>
    <w:pPr>
      <w:ind w:left="100"/>
      <w:jc w:val="both"/>
    </w:pPr>
    <w:rPr>
      <w:sz w:val="24"/>
      <w:szCs w:val="24"/>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FE2C70"/>
    <w:pPr>
      <w:ind w:left="527" w:right="38" w:hanging="427"/>
      <w:jc w:val="both"/>
    </w:pPr>
  </w:style>
  <w:style w:type="paragraph" w:customStyle="1" w:styleId="TableParagraph">
    <w:name w:val="Table Paragraph"/>
    <w:basedOn w:val="Normal"/>
    <w:uiPriority w:val="1"/>
    <w:qFormat/>
    <w:rsid w:val="00FE2C70"/>
    <w:pPr>
      <w:spacing w:line="256" w:lineRule="exact"/>
      <w:ind w:left="633"/>
    </w:pPr>
  </w:style>
  <w:style w:type="paragraph" w:styleId="Header">
    <w:name w:val="header"/>
    <w:basedOn w:val="Normal"/>
    <w:link w:val="HeaderChar"/>
    <w:uiPriority w:val="99"/>
    <w:unhideWhenUsed/>
    <w:rsid w:val="00A17C5A"/>
    <w:pPr>
      <w:tabs>
        <w:tab w:val="center" w:pos="4513"/>
        <w:tab w:val="right" w:pos="9026"/>
      </w:tabs>
    </w:pPr>
  </w:style>
  <w:style w:type="paragraph" w:styleId="Footer">
    <w:name w:val="footer"/>
    <w:basedOn w:val="Normal"/>
    <w:link w:val="FooterChar"/>
    <w:uiPriority w:val="99"/>
    <w:unhideWhenUsed/>
    <w:rsid w:val="00A17C5A"/>
    <w:pPr>
      <w:tabs>
        <w:tab w:val="center" w:pos="4513"/>
        <w:tab w:val="right" w:pos="9026"/>
      </w:tabs>
    </w:pPr>
  </w:style>
  <w:style w:type="paragraph" w:styleId="BalloonText">
    <w:name w:val="Balloon Text"/>
    <w:basedOn w:val="Normal"/>
    <w:link w:val="BalloonTextChar"/>
    <w:uiPriority w:val="99"/>
    <w:semiHidden/>
    <w:unhideWhenUsed/>
    <w:qFormat/>
    <w:rsid w:val="00A17C5A"/>
    <w:rPr>
      <w:rFonts w:ascii="Tahoma" w:hAnsi="Tahoma" w:cs="Tahoma"/>
      <w:sz w:val="16"/>
      <w:szCs w:val="16"/>
    </w:rPr>
  </w:style>
  <w:style w:type="paragraph" w:customStyle="1" w:styleId="Default">
    <w:name w:val="Default"/>
    <w:qFormat/>
    <w:rsid w:val="00CF3F1C"/>
    <w:rPr>
      <w:rFonts w:ascii="Times New Roman" w:eastAsia="Calibri" w:hAnsi="Times New Roman" w:cs="Times New Roman"/>
      <w:color w:val="000000"/>
      <w:sz w:val="24"/>
      <w:szCs w:val="24"/>
      <w:lang w:val="id-ID"/>
    </w:rPr>
  </w:style>
  <w:style w:type="paragraph" w:customStyle="1" w:styleId="FrameContents">
    <w:name w:val="Frame Contents"/>
    <w:basedOn w:val="Normal"/>
    <w:qFormat/>
  </w:style>
  <w:style w:type="table" w:customStyle="1" w:styleId="PlainTable41">
    <w:name w:val="Plain Table 41"/>
    <w:basedOn w:val="TableNormal"/>
    <w:uiPriority w:val="44"/>
    <w:rsid w:val="00CF3F1C"/>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A7E91"/>
    <w:rPr>
      <w:color w:val="0000FF" w:themeColor="hyperlink"/>
      <w:u w:val="single"/>
    </w:rPr>
  </w:style>
  <w:style w:type="paragraph" w:customStyle="1" w:styleId="Body">
    <w:name w:val="Body"/>
    <w:basedOn w:val="Normal"/>
    <w:rsid w:val="008707F1"/>
    <w:pPr>
      <w:widowControl w:val="0"/>
      <w:autoSpaceDE w:val="0"/>
      <w:autoSpaceDN w:val="0"/>
      <w:adjustRightInd w:val="0"/>
      <w:spacing w:line="360" w:lineRule="auto"/>
      <w:ind w:firstLine="340"/>
      <w:jc w:val="both"/>
      <w:textAlignment w:val="baseline"/>
    </w:pPr>
    <w:rPr>
      <w:rFonts w:eastAsia="BatangChe"/>
      <w:sz w:val="24"/>
      <w:szCs w:val="20"/>
      <w:lang w:val="en-US" w:eastAsia="ko-KR" w:bidi="ar-SA"/>
    </w:rPr>
  </w:style>
  <w:style w:type="table" w:styleId="TableGrid">
    <w:name w:val="Table Grid"/>
    <w:basedOn w:val="TableNormal"/>
    <w:uiPriority w:val="39"/>
    <w:rsid w:val="004075A2"/>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98BA-0929-4AA0-9FF7-5C9503F9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12128</Words>
  <Characters>69135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Pramono</dc:creator>
  <dc:description/>
  <cp:lastModifiedBy>apriningsih@upnvj.ac.id</cp:lastModifiedBy>
  <cp:revision>4</cp:revision>
  <dcterms:created xsi:type="dcterms:W3CDTF">2022-04-18T08:55:00Z</dcterms:created>
  <dcterms:modified xsi:type="dcterms:W3CDTF">2022-04-18T09:11:00Z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2018-03-23T00:00:00Z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2019-04-04T00:00:00Z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Mendeley Document_1">
    <vt:lpwstr>True</vt:lpwstr>
  </property>
  <property fmtid="{D5CDD505-2E9C-101B-9397-08002B2CF9AE}" pid="12" name="Mendeley Unique User Id_1">
    <vt:lpwstr>efa0d12c-d527-3459-866d-7c21d6c011a9</vt:lpwstr>
  </property>
  <property fmtid="{D5CDD505-2E9C-101B-9397-08002B2CF9AE}" pid="13" name="Mendeley Citation Style_1">
    <vt:lpwstr>http://www.zotero.org/styles/vancouver</vt:lpwstr>
  </property>
  <property fmtid="{D5CDD505-2E9C-101B-9397-08002B2CF9AE}" pid="14" name="Mendeley Recent Style Id 0_1">
    <vt:lpwstr>http://www.zotero.org/styles/apa</vt:lpwstr>
  </property>
  <property fmtid="{D5CDD505-2E9C-101B-9397-08002B2CF9AE}" pid="15" name="Mendeley Recent Style Name 0_1">
    <vt:lpwstr>American Psychological Association 7th edition</vt:lpwstr>
  </property>
  <property fmtid="{D5CDD505-2E9C-101B-9397-08002B2CF9AE}" pid="16" name="Mendeley Recent Style Id 1_1">
    <vt:lpwstr>http://www.zotero.org/styles/american-sociological-association</vt:lpwstr>
  </property>
  <property fmtid="{D5CDD505-2E9C-101B-9397-08002B2CF9AE}" pid="17" name="Mendeley Recent Style Name 1_1">
    <vt:lpwstr>American Sociological Association</vt:lpwstr>
  </property>
  <property fmtid="{D5CDD505-2E9C-101B-9397-08002B2CF9AE}" pid="18" name="Mendeley Recent Style Id 2_1">
    <vt:lpwstr>http://www.zotero.org/styles/chicago-author-date</vt:lpwstr>
  </property>
  <property fmtid="{D5CDD505-2E9C-101B-9397-08002B2CF9AE}" pid="19" name="Mendeley Recent Style Name 2_1">
    <vt:lpwstr>Chicago Manual of Style 17th edition (author-date)</vt:lpwstr>
  </property>
  <property fmtid="{D5CDD505-2E9C-101B-9397-08002B2CF9AE}" pid="20" name="Mendeley Recent Style Id 3_1">
    <vt:lpwstr>http://www.zotero.org/styles/harvard-cite-them-right</vt:lpwstr>
  </property>
  <property fmtid="{D5CDD505-2E9C-101B-9397-08002B2CF9AE}" pid="21" name="Mendeley Recent Style Name 3_1">
    <vt:lpwstr>Cite Them Right 10th edition - Harvard</vt:lpwstr>
  </property>
  <property fmtid="{D5CDD505-2E9C-101B-9397-08002B2CF9AE}" pid="22" name="Mendeley Recent Style Id 4_1">
    <vt:lpwstr>http://www.zotero.org/styles/ieee</vt:lpwstr>
  </property>
  <property fmtid="{D5CDD505-2E9C-101B-9397-08002B2CF9AE}" pid="23" name="Mendeley Recent Style Name 4_1">
    <vt:lpwstr>IEEE</vt:lpwstr>
  </property>
  <property fmtid="{D5CDD505-2E9C-101B-9397-08002B2CF9AE}" pid="24" name="Mendeley Recent Style Id 5_1">
    <vt:lpwstr>http://www.zotero.org/styles/iop-conference-series-earth-and-environmental-science</vt:lpwstr>
  </property>
  <property fmtid="{D5CDD505-2E9C-101B-9397-08002B2CF9AE}" pid="25" name="Mendeley Recent Style Name 5_1">
    <vt:lpwstr>IOP Conference Series: Earth and Environmental Science</vt:lpwstr>
  </property>
  <property fmtid="{D5CDD505-2E9C-101B-9397-08002B2CF9AE}" pid="26" name="Mendeley Recent Style Id 6_1">
    <vt:lpwstr>http://www.zotero.org/styles/institut-pertanian-bogor</vt:lpwstr>
  </property>
  <property fmtid="{D5CDD505-2E9C-101B-9397-08002B2CF9AE}" pid="27" name="Mendeley Recent Style Name 6_1">
    <vt:lpwstr>Institut Pertanian Bogor: Pedoman Penulisan Karya Ilmiah Edisi ke-4 (Indonesian)</vt:lpwstr>
  </property>
  <property fmtid="{D5CDD505-2E9C-101B-9397-08002B2CF9AE}" pid="28" name="Mendeley Recent Style Id 7_1">
    <vt:lpwstr>http://www.zotero.org/styles/national-library-of-medicine</vt:lpwstr>
  </property>
  <property fmtid="{D5CDD505-2E9C-101B-9397-08002B2CF9AE}" pid="29" name="Mendeley Recent Style Name 7_1">
    <vt:lpwstr>National Library of Medicine</vt:lpwstr>
  </property>
  <property fmtid="{D5CDD505-2E9C-101B-9397-08002B2CF9AE}" pid="30" name="Mendeley Recent Style Id 8_1">
    <vt:lpwstr>http://www.zotero.org/styles/nature</vt:lpwstr>
  </property>
  <property fmtid="{D5CDD505-2E9C-101B-9397-08002B2CF9AE}" pid="31" name="Mendeley Recent Style Name 8_1">
    <vt:lpwstr>Nature</vt:lpwstr>
  </property>
  <property fmtid="{D5CDD505-2E9C-101B-9397-08002B2CF9AE}" pid="32" name="Mendeley Recent Style Id 9_1">
    <vt:lpwstr>http://www.zotero.org/styles/vancouver</vt:lpwstr>
  </property>
  <property fmtid="{D5CDD505-2E9C-101B-9397-08002B2CF9AE}" pid="33" name="Mendeley Recent Style Name 9_1">
    <vt:lpwstr>Vancouver</vt:lpwstr>
  </property>
</Properties>
</file>