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F56" w:rsidRDefault="008830CC">
      <w:pPr>
        <w:pStyle w:val="GvdeMetni"/>
        <w:spacing w:line="20" w:lineRule="exact"/>
        <w:ind w:left="96"/>
        <w:jc w:val="left"/>
        <w:rPr>
          <w:sz w:val="2"/>
        </w:rPr>
      </w:pPr>
      <w:r w:rsidRPr="00EE4897">
        <w:rPr>
          <w:b/>
          <w:bCs/>
          <w:noProof/>
          <w:lang w:val="tr-TR" w:eastAsia="tr-TR" w:bidi="ar-SA"/>
        </w:rPr>
        <mc:AlternateContent>
          <mc:Choice Requires="wps">
            <w:drawing>
              <wp:anchor distT="0" distB="0" distL="114300" distR="114300" simplePos="0" relativeHeight="251659264" behindDoc="0" locked="0" layoutInCell="1" allowOverlap="1" wp14:anchorId="135294A9" wp14:editId="621DE0F9">
                <wp:simplePos x="0" y="0"/>
                <wp:positionH relativeFrom="margin">
                  <wp:posOffset>0</wp:posOffset>
                </wp:positionH>
                <wp:positionV relativeFrom="paragraph">
                  <wp:posOffset>-70485</wp:posOffset>
                </wp:positionV>
                <wp:extent cx="6172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172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68FE52" id="Straight Connector 6"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55pt" to="48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" strokecolor="black [3040]" strokeweight="1.5pt">
                <w10:wrap anchorx="margin"/>
              </v:line>
            </w:pict>
          </mc:Fallback>
        </mc:AlternateContent>
      </w:r>
    </w:p>
    <w:p w:rsidR="00CA3081" w:rsidRDefault="00CA3081" w:rsidP="00E3045B">
      <w:pPr>
        <w:spacing w:before="126" w:line="233" w:lineRule="exact"/>
        <w:jc w:val="center"/>
        <w:rPr>
          <w:b/>
          <w:color w:val="000000"/>
          <w:sz w:val="24"/>
          <w:szCs w:val="24"/>
        </w:rPr>
      </w:pPr>
      <w:r w:rsidRPr="00CA3081">
        <w:rPr>
          <w:b/>
          <w:color w:val="000000"/>
          <w:sz w:val="24"/>
          <w:szCs w:val="24"/>
        </w:rPr>
        <w:t>Analysis of Recurrent Positive COVID-19 Patients in A Hospital</w:t>
      </w:r>
    </w:p>
    <w:p w:rsidR="00CA3081" w:rsidRPr="00CA3081" w:rsidRDefault="00CA3081" w:rsidP="00CA3081">
      <w:pPr>
        <w:spacing w:line="233" w:lineRule="exact"/>
        <w:jc w:val="center"/>
        <w:rPr>
          <w:b/>
          <w:vertAlign w:val="superscript"/>
          <w:lang w:val="en-US"/>
        </w:rPr>
      </w:pPr>
      <w:r w:rsidRPr="00CA3081">
        <w:rPr>
          <w:b/>
          <w:bCs/>
          <w:lang w:val="en-US"/>
        </w:rPr>
        <w:t>Ensar Durmus</w:t>
      </w:r>
      <w:r w:rsidRPr="00CA3081">
        <w:rPr>
          <w:b/>
          <w:bCs/>
          <w:vertAlign w:val="superscript"/>
          <w:lang w:val="en-US"/>
        </w:rPr>
        <w:t>1*</w:t>
      </w:r>
      <w:r w:rsidRPr="00CA3081">
        <w:rPr>
          <w:b/>
          <w:bCs/>
          <w:lang w:val="en-US"/>
        </w:rPr>
        <w:t>, Fatih Guneysu</w:t>
      </w:r>
      <w:r w:rsidRPr="00CA3081">
        <w:rPr>
          <w:b/>
          <w:bCs/>
          <w:vertAlign w:val="superscript"/>
          <w:lang w:val="en-US"/>
        </w:rPr>
        <w:t>1</w:t>
      </w:r>
    </w:p>
    <w:p w:rsidR="00CA3081" w:rsidRPr="00CA3081" w:rsidRDefault="00CA3081" w:rsidP="00CA3081">
      <w:pPr>
        <w:spacing w:line="233" w:lineRule="exact"/>
        <w:jc w:val="center"/>
        <w:rPr>
          <w:b/>
          <w:vertAlign w:val="superscript"/>
          <w:lang w:val="en-US"/>
        </w:rPr>
      </w:pPr>
      <w:r w:rsidRPr="00CA3081">
        <w:rPr>
          <w:b/>
          <w:vertAlign w:val="superscript"/>
          <w:lang w:val="en-US"/>
        </w:rPr>
        <w:t> </w:t>
      </w:r>
    </w:p>
    <w:p w:rsidR="00CA3081" w:rsidRPr="00CA3081" w:rsidRDefault="00CA3081" w:rsidP="00CA3081">
      <w:pPr>
        <w:spacing w:line="233" w:lineRule="exact"/>
        <w:jc w:val="center"/>
        <w:rPr>
          <w:b/>
          <w:lang w:val="id-ID"/>
        </w:rPr>
      </w:pPr>
      <w:r w:rsidRPr="00CA3081">
        <w:rPr>
          <w:b/>
          <w:vertAlign w:val="superscript"/>
          <w:lang w:val="en-US"/>
        </w:rPr>
        <w:t>1</w:t>
      </w:r>
      <w:r w:rsidRPr="00CA3081">
        <w:rPr>
          <w:b/>
          <w:lang w:val="en-US"/>
        </w:rPr>
        <w:t>Emergency Department of Sakarya University Training and Research Hospital,Turkey</w:t>
      </w:r>
    </w:p>
    <w:p w:rsidR="00CA3081" w:rsidRPr="00CA3081" w:rsidRDefault="00CA3081" w:rsidP="00CA3081">
      <w:pPr>
        <w:spacing w:line="233" w:lineRule="exact"/>
        <w:jc w:val="center"/>
        <w:rPr>
          <w:b/>
          <w:lang w:val="en-US"/>
        </w:rPr>
      </w:pPr>
      <w:r w:rsidRPr="00CA3081">
        <w:rPr>
          <w:b/>
          <w:lang w:val="en-US"/>
        </w:rPr>
        <w:t>*</w:t>
      </w:r>
      <w:r>
        <w:rPr>
          <w:b/>
          <w:lang w:val="en-US"/>
        </w:rPr>
        <w:t>Correspondence e</w:t>
      </w:r>
      <w:r w:rsidRPr="00CA3081">
        <w:rPr>
          <w:b/>
          <w:lang w:val="en-US"/>
        </w:rPr>
        <w:t>mail : ensar.durmus@saglik.gov.tr</w:t>
      </w:r>
    </w:p>
    <w:p w:rsidR="00596417" w:rsidRDefault="00596417" w:rsidP="00596417">
      <w:pPr>
        <w:spacing w:line="233" w:lineRule="exact"/>
        <w:jc w:val="center"/>
        <w:rPr>
          <w:b/>
        </w:rPr>
      </w:pPr>
    </w:p>
    <w:p w:rsidR="00AD6F56" w:rsidRDefault="00AD6F56">
      <w:pPr>
        <w:pStyle w:val="GvdeMetni"/>
        <w:spacing w:before="11"/>
        <w:ind w:left="0"/>
        <w:jc w:val="left"/>
        <w:rPr>
          <w:sz w:val="15"/>
        </w:rPr>
      </w:pPr>
    </w:p>
    <w:p w:rsidR="00AD6F56" w:rsidRDefault="008830CC">
      <w:pPr>
        <w:pStyle w:val="GvdeMetni"/>
        <w:spacing w:before="4"/>
        <w:ind w:left="0"/>
        <w:jc w:val="left"/>
        <w:rPr>
          <w:sz w:val="7"/>
        </w:rPr>
      </w:pPr>
      <w:r w:rsidRPr="00EE4897">
        <w:rPr>
          <w:b/>
          <w:bCs/>
          <w:noProof/>
          <w:lang w:val="tr-TR" w:eastAsia="tr-TR" w:bidi="ar-SA"/>
        </w:rPr>
        <mc:AlternateContent>
          <mc:Choice Requires="wps">
            <w:drawing>
              <wp:anchor distT="0" distB="0" distL="114300" distR="114300" simplePos="0" relativeHeight="251661312" behindDoc="0" locked="0" layoutInCell="1" allowOverlap="1" wp14:anchorId="34808163" wp14:editId="40F07161">
                <wp:simplePos x="0" y="0"/>
                <wp:positionH relativeFrom="margin">
                  <wp:posOffset>0</wp:posOffset>
                </wp:positionH>
                <wp:positionV relativeFrom="paragraph">
                  <wp:posOffset>15240</wp:posOffset>
                </wp:positionV>
                <wp:extent cx="6172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172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9EE8F7" id="Straight Connector 9"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2pt" to="4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" strokecolor="black [3040]" strokeweight="1.5pt">
                <w10:wrap anchorx="margin"/>
              </v:line>
            </w:pict>
          </mc:Fallback>
        </mc:AlternateContent>
      </w:r>
    </w:p>
    <w:p w:rsidR="00AD6F56" w:rsidRDefault="00BF7A81">
      <w:pPr>
        <w:pStyle w:val="Balk1"/>
        <w:spacing w:before="90"/>
        <w:ind w:left="3960"/>
      </w:pPr>
      <w:r>
        <w:t>ABSTRACT</w:t>
      </w:r>
    </w:p>
    <w:p w:rsidR="00AD6F56" w:rsidRDefault="00AD6F56">
      <w:pPr>
        <w:pStyle w:val="GvdeMetni"/>
        <w:spacing w:before="5"/>
        <w:ind w:left="0"/>
        <w:jc w:val="left"/>
        <w:rPr>
          <w:b/>
          <w:sz w:val="20"/>
        </w:rPr>
      </w:pPr>
    </w:p>
    <w:p w:rsidR="00CA3081" w:rsidRPr="00CA3081" w:rsidRDefault="00CA3081" w:rsidP="00CA3081">
      <w:pPr>
        <w:ind w:firstLine="720"/>
        <w:jc w:val="both"/>
        <w:rPr>
          <w:color w:val="000000"/>
          <w:sz w:val="24"/>
          <w:szCs w:val="24"/>
          <w:lang w:val="en-US"/>
        </w:rPr>
      </w:pPr>
      <w:r w:rsidRPr="00CA3081">
        <w:rPr>
          <w:color w:val="000000"/>
          <w:sz w:val="24"/>
          <w:szCs w:val="24"/>
          <w:lang w:val="en-US"/>
        </w:rPr>
        <w:t xml:space="preserve">Backround:The studies about COVID-19 began to show that people who have already had COVID-19 were re-admitted to the hospital due to COVID-19 positivity. </w:t>
      </w:r>
    </w:p>
    <w:p w:rsidR="00CA3081" w:rsidRPr="00CA3081" w:rsidRDefault="00CA3081" w:rsidP="00CA3081">
      <w:pPr>
        <w:ind w:firstLine="720"/>
        <w:jc w:val="both"/>
        <w:rPr>
          <w:color w:val="000000"/>
          <w:sz w:val="24"/>
          <w:szCs w:val="24"/>
          <w:lang w:val="en-US"/>
        </w:rPr>
      </w:pPr>
      <w:r w:rsidRPr="00CA3081">
        <w:rPr>
          <w:color w:val="000000"/>
          <w:sz w:val="24"/>
          <w:szCs w:val="24"/>
          <w:lang w:val="en-US"/>
        </w:rPr>
        <w:t>Objective:This study aims to identify recurrent positive patients and the demographic characteristics of these patients.</w:t>
      </w:r>
    </w:p>
    <w:p w:rsidR="00CA3081" w:rsidRPr="00CA3081" w:rsidRDefault="00CA3081" w:rsidP="00CA3081">
      <w:pPr>
        <w:ind w:firstLine="720"/>
        <w:jc w:val="both"/>
        <w:rPr>
          <w:color w:val="000000"/>
          <w:sz w:val="24"/>
          <w:szCs w:val="24"/>
          <w:lang w:val="en-US"/>
        </w:rPr>
      </w:pPr>
      <w:r w:rsidRPr="00CA3081">
        <w:rPr>
          <w:color w:val="000000"/>
          <w:sz w:val="24"/>
          <w:szCs w:val="24"/>
          <w:lang w:val="en-US"/>
        </w:rPr>
        <w:t>Metod-Results:The number of recurrent COVID-19 positive patients  was 190. Of these patients, 97 (51.1%) were male, the average age was 43.98 years (±16.3), 147 (77.4%) were never hospitalized, Of the hospitalized patients, 28 (65.1%) were male and the average age of the inpatients was 54.67 years (±16.15). Looking at the duration of hospital stay of the inpatients, it was observed that the average was 11.16 days (±8.9). A positive correlation was found between the age of the patients and the duration of their hospital stay (r=0.386). The average time between the two positives was 52.92 days.</w:t>
      </w:r>
    </w:p>
    <w:p w:rsidR="00CA3081" w:rsidRPr="00CA3081" w:rsidRDefault="00CA3081" w:rsidP="00CA3081">
      <w:pPr>
        <w:ind w:firstLine="720"/>
        <w:jc w:val="both"/>
        <w:rPr>
          <w:b/>
          <w:bCs/>
          <w:i/>
          <w:iCs/>
          <w:color w:val="000000"/>
          <w:sz w:val="24"/>
          <w:szCs w:val="24"/>
          <w:lang w:val="en-US"/>
        </w:rPr>
      </w:pPr>
      <w:r w:rsidRPr="00CA3081">
        <w:rPr>
          <w:color w:val="000000"/>
          <w:sz w:val="24"/>
          <w:szCs w:val="24"/>
          <w:lang w:val="en-US"/>
        </w:rPr>
        <w:t>Conclusion:Patients who have a recurrent positive result usually survive the disease with outpatient treatment for their mild illness. Hospitalization rates of male patients were higher than those of females, and the duration of hospital stay was found to increase as the age of the patients increases.</w:t>
      </w:r>
      <w:r w:rsidRPr="00CA3081">
        <w:rPr>
          <w:color w:val="000000"/>
          <w:sz w:val="24"/>
          <w:szCs w:val="24"/>
          <w:lang w:val="id-ID"/>
        </w:rPr>
        <w:t xml:space="preserve"> </w:t>
      </w:r>
    </w:p>
    <w:p w:rsidR="00AD6F56" w:rsidRPr="009267F5" w:rsidRDefault="00CA3081" w:rsidP="00CA3081">
      <w:pPr>
        <w:ind w:firstLine="720"/>
        <w:jc w:val="both"/>
      </w:pPr>
      <w:r>
        <w:rPr>
          <w:color w:val="000000"/>
          <w:sz w:val="24"/>
          <w:szCs w:val="24"/>
        </w:rPr>
        <w:t xml:space="preserve"> </w:t>
      </w:r>
      <w:r w:rsidR="00BF7A81" w:rsidRPr="009267F5">
        <w:rPr>
          <w:b/>
        </w:rPr>
        <w:t>Keywords</w:t>
      </w:r>
      <w:r w:rsidR="00BF7A81" w:rsidRPr="009267F5">
        <w:t xml:space="preserve">:  </w:t>
      </w:r>
      <w:r w:rsidRPr="00CA3081">
        <w:rPr>
          <w:lang w:val="en-US"/>
        </w:rPr>
        <w:t>COVID-19, pandemic, recurrence</w:t>
      </w:r>
      <w:r w:rsidRPr="00CA3081">
        <w:t xml:space="preserve"> </w:t>
      </w:r>
    </w:p>
    <w:p w:rsidR="00AD6F56" w:rsidRDefault="00AD6F56">
      <w:pPr>
        <w:sectPr w:rsidR="00AD6F56" w:rsidSect="006A7E91">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710" w:footer="850" w:gutter="0"/>
          <w:cols w:space="720"/>
          <w:formProt w:val="0"/>
          <w:docGrid w:linePitch="299" w:charSpace="-2049"/>
        </w:sectPr>
      </w:pPr>
    </w:p>
    <w:p w:rsidR="008830CC" w:rsidRDefault="008830CC">
      <w:pPr>
        <w:pStyle w:val="Balk1"/>
        <w:spacing w:before="92"/>
        <w:ind w:left="0"/>
      </w:pPr>
      <w:r w:rsidRPr="00EE4897">
        <w:rPr>
          <w:b w:val="0"/>
          <w:bCs w:val="0"/>
          <w:noProof/>
          <w:lang w:val="tr-TR" w:eastAsia="tr-TR" w:bidi="ar-SA"/>
        </w:rPr>
        <w:lastRenderedPageBreak/>
        <mc:AlternateContent>
          <mc:Choice Requires="wps">
            <w:drawing>
              <wp:anchor distT="0" distB="0" distL="114300" distR="114300" simplePos="0" relativeHeight="251663360" behindDoc="0" locked="0" layoutInCell="1" allowOverlap="1" wp14:anchorId="3A669A72" wp14:editId="0D3FE24E">
                <wp:simplePos x="0" y="0"/>
                <wp:positionH relativeFrom="margin">
                  <wp:posOffset>0</wp:posOffset>
                </wp:positionH>
                <wp:positionV relativeFrom="paragraph">
                  <wp:posOffset>135890</wp:posOffset>
                </wp:positionV>
                <wp:extent cx="6172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172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44A40A" id="Straight Connector 10"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0.7pt" to="48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" strokecolor="black [3040]" strokeweight="1.5pt">
                <w10:wrap anchorx="margin"/>
              </v:line>
            </w:pict>
          </mc:Fallback>
        </mc:AlternateContent>
      </w:r>
    </w:p>
    <w:p w:rsidR="00AD6F56" w:rsidRDefault="00E5363A">
      <w:pPr>
        <w:pStyle w:val="Balk1"/>
        <w:spacing w:before="92"/>
        <w:ind w:left="0"/>
      </w:pPr>
      <w:r>
        <w:t>INTRODUCTION</w:t>
      </w:r>
    </w:p>
    <w:p w:rsidR="00CA3081" w:rsidRDefault="00CA3081" w:rsidP="00CA3081">
      <w:pPr>
        <w:ind w:firstLine="426"/>
        <w:jc w:val="both"/>
        <w:rPr>
          <w:iCs/>
          <w:color w:val="000000"/>
          <w:sz w:val="24"/>
          <w:szCs w:val="24"/>
          <w:lang w:val="en-US"/>
        </w:rPr>
      </w:pPr>
      <w:r w:rsidRPr="00CA3081">
        <w:rPr>
          <w:iCs/>
          <w:color w:val="000000"/>
          <w:sz w:val="24"/>
          <w:szCs w:val="24"/>
          <w:lang w:val="en-US"/>
        </w:rPr>
        <w:t xml:space="preserve">The COVID-19 disease, which emerged in late 2019, spread all over the world and declared as a pandemic, continued to have its impact throughout 2020. Numerous methods and constraints, such as international travel bans, closure of borders between countries, the need to wear a mask, social distancing, meeting bans, prohibition of collective activities, and curfew to reduce the spread of the virus </w:t>
      </w:r>
      <w:r w:rsidRPr="00CA3081">
        <w:rPr>
          <w:iCs/>
          <w:color w:val="000000"/>
          <w:sz w:val="24"/>
          <w:szCs w:val="24"/>
          <w:lang w:val="en-US"/>
        </w:rPr>
        <w:fldChar w:fldCharType="begin"/>
      </w:r>
      <w:r w:rsidR="005C635D">
        <w:rPr>
          <w:iCs/>
          <w:color w:val="000000"/>
          <w:sz w:val="24"/>
          <w:szCs w:val="24"/>
          <w:lang w:val="en-US"/>
        </w:rPr>
        <w:instrText xml:space="preserve"> ADDIN ZOTERO_ITEM CSL_CITATION {"citationID":"6J0twLUE","properties":{"formattedCitation":"(1,2)","plainCitation":"(1,2)","noteIndex":0},"citationItems":[{"id":366,"uris":["http://zotero.org/users/6447875/items/IM8DQEAY"],"uri":["http://zotero.org/users/6447875/items/IM8DQEAY"],"itemData":{"id":366,"type":"article-journal","container-title":"Journal of Sport and Health Science","DOI":"10.1016/j.jshs.2020.10.001","ISSN":"20952546","journalAbbreviation":"Journal of Sport and Health Science","language":"en","page":"S2095254620301344","source":"DOI.org (Crossref)","title":"The effects of the COVID-19 pandemic on the physical activity of the Thai population: Evidence from Thailand's Surveillance on Physical Activity 2020","title-short":"The effects of the COVID-19 pandemic on the physical activity of the Thai population","author":[{"family":"Katewongsa","given":"Piyawat"},{"family":"Widyastari","given":"Dyah Anantalia"},{"family":"Saonuam","given":"Pairoj"},{"family":"Haemathulin","given":"Narumol"},{"family":"Wongsingha","given":"Narakorn"}],"issued":{"date-parts":[["2020",10]]}}},{"id":363,"uris":["http://zotero.org/users/6447875/items/8AXYVHGC"],"uri":["http://zotero.org/users/6447875/items/8AXYVHGC"],"itemData":{"id":363,"type":"article-journal","abstract":"The COVID-19 pandemic has resulted in over 4.3 million confirmed cases and over 290,000 deaths globally. It has also sparked fears of an impending economic crisis and recession. Social distancing, self-isolation and travel restrictions have lead to a reduced workforce across all economic sectors and caused many jobs to be lost. Schools have closed down, and the need for commodities and manufactured products has decreased. In contrast, the need for medical supplies has significantly increased. The food sector is also facing increased demand due to panic-buying and stockpiling of food products. In response to this global outbreak, we summarise the socio-economic effects of COVID-19 on individual aspects of the world economy.","container-title":"International Journal of Surgery (London, England)","DOI":"10.1016/j.ijsu.2020.04.018","ISSN":"1743-9159","journalAbbreviation":"Int J Surg","language":"eng","note":"PMID: 32305533\nPMCID: PMC7162753","page":"185-193","source":"PubMed","title":"The socio-economic implications of the coronavirus pandemic (COVID-19): A review","title-short":"The socio-economic implications of the coronavirus pandemic (COVID-19)","volume":"78","author":[{"family":"Nicola","given":"Maria"},{"family":"Alsafi","given":"Zaid"},{"family":"Sohrabi","given":"Catrin"},{"family":"Kerwan","given":"Ahmed"},{"family":"Al-Jabir","given":"Ahmed"},{"family":"Iosifidis","given":"Christos"},{"family":"Agha","given":"Maliha"},{"family":"Agha","given":"Riaz"}],"issued":{"date-parts":[["2020",6]]}}}],"schema":"https://github.com/citation-style-language/schema/raw/master/csl-citation.json"} </w:instrText>
      </w:r>
      <w:r w:rsidRPr="00CA3081">
        <w:rPr>
          <w:iCs/>
          <w:color w:val="000000"/>
          <w:sz w:val="24"/>
          <w:szCs w:val="24"/>
          <w:lang w:val="en-US"/>
        </w:rPr>
        <w:fldChar w:fldCharType="separate"/>
      </w:r>
      <w:r w:rsidR="005C635D" w:rsidRPr="005C635D">
        <w:rPr>
          <w:sz w:val="24"/>
          <w:lang w:val="en-US"/>
        </w:rPr>
        <w:t>(1,2)</w:t>
      </w:r>
      <w:r w:rsidRPr="00CA3081">
        <w:rPr>
          <w:color w:val="000000"/>
          <w:sz w:val="24"/>
          <w:szCs w:val="24"/>
        </w:rPr>
        <w:fldChar w:fldCharType="end"/>
      </w:r>
      <w:r w:rsidRPr="00CA3081">
        <w:rPr>
          <w:iCs/>
          <w:color w:val="000000"/>
          <w:sz w:val="24"/>
          <w:szCs w:val="24"/>
          <w:lang w:val="en-US"/>
        </w:rPr>
        <w:t xml:space="preserve">. Despite all this, COVID-19 disease continued to rise, although it sometimes reduced its impact regionally. Some countries have begun to discuss a second wave of COVID-19 and its effects </w:t>
      </w:r>
      <w:r w:rsidRPr="00CA3081">
        <w:rPr>
          <w:iCs/>
          <w:color w:val="000000"/>
          <w:sz w:val="24"/>
          <w:szCs w:val="24"/>
          <w:lang w:val="en-US"/>
        </w:rPr>
        <w:fldChar w:fldCharType="begin"/>
      </w:r>
      <w:r w:rsidR="005C635D">
        <w:rPr>
          <w:iCs/>
          <w:color w:val="000000"/>
          <w:sz w:val="24"/>
          <w:szCs w:val="24"/>
          <w:lang w:val="en-US"/>
        </w:rPr>
        <w:instrText xml:space="preserve"> ADDIN ZOTERO_ITEM CSL_CITATION {"citationID":"g18BMS7W","properties":{"formattedCitation":"(3)","plainCitation":"(3)","noteIndex":0},"citationItems":[{"id":368,"uris":["http://zotero.org/users/6447875/items/Z7TGJMFP"],"uri":["http://zotero.org/users/6447875/items/Z7TGJMFP"],"itemData":{"id":368,"type":"article-journal","abstract":"Abstract\n            \n              A second wave pandemic constitutes an imminent threat to society, with a potentially immense toll in terms of human lives and a devastating economic impact. We employ the\n              epidemic Renormalisation Group\n              (eRG) approach to pandemics, together with the first wave data for COVID-19, to efficiently simulate the dynamics of disease transmission and spreading across different European countries. The framework allows us to model, not only inter and extra European border control effects, but also the impact of social distancing for each country. We perform statistical analyses averaging on different level of human interaction across Europe and with the rest of the World. Our results are neatly summarised as an animation reporting the time evolution of the first and second waves of the European COVID-19 pandemic. Our temporal playbook of the second wave pandemic can be used by governments, financial markets, the industries and individual citizens, to efficiently time, prepare and implement local and global measures.","container-title":"Scientific Reports","DOI":"10.1038/s41598-020-72611-5","ISSN":"2045-2322","issue":"1","journalAbbreviation":"Sci Rep","language":"en","page":"15514","source":"DOI.org (Crossref)","title":"Second wave COVID-19 pandemics in Europe: a temporal playbook","title-short":"Second wave COVID-19 pandemics in Europe","volume":"10","author":[{"family":"Cacciapaglia","given":"Giacomo"},{"family":"Cot","given":"Corentin"},{"family":"Sannino","given":"Francesco"}],"issued":{"date-parts":[["2020",12]]}}}],"schema":"https://github.com/citation-style-language/schema/raw/master/csl-citation.json"} </w:instrText>
      </w:r>
      <w:r w:rsidRPr="00CA3081">
        <w:rPr>
          <w:iCs/>
          <w:color w:val="000000"/>
          <w:sz w:val="24"/>
          <w:szCs w:val="24"/>
          <w:lang w:val="en-US"/>
        </w:rPr>
        <w:fldChar w:fldCharType="separate"/>
      </w:r>
      <w:r w:rsidR="005C635D" w:rsidRPr="005C635D">
        <w:rPr>
          <w:sz w:val="24"/>
          <w:lang w:val="en-US"/>
        </w:rPr>
        <w:t>(3)</w:t>
      </w:r>
      <w:r w:rsidRPr="00CA3081">
        <w:rPr>
          <w:color w:val="000000"/>
          <w:sz w:val="24"/>
          <w:szCs w:val="24"/>
        </w:rPr>
        <w:fldChar w:fldCharType="end"/>
      </w:r>
      <w:r w:rsidRPr="00CA3081">
        <w:rPr>
          <w:iCs/>
          <w:color w:val="000000"/>
          <w:sz w:val="24"/>
          <w:szCs w:val="24"/>
          <w:lang w:val="en-US"/>
        </w:rPr>
        <w:t xml:space="preserve">. In addition to all the measures taken, intensive vaccine development activities have been started in many countries to cope with the virus, which restricts our social life </w:t>
      </w:r>
      <w:r w:rsidRPr="00CA3081">
        <w:rPr>
          <w:iCs/>
          <w:color w:val="000000"/>
          <w:sz w:val="24"/>
          <w:szCs w:val="24"/>
          <w:lang w:val="en-US"/>
        </w:rPr>
        <w:fldChar w:fldCharType="begin"/>
      </w:r>
      <w:r w:rsidR="005C635D">
        <w:rPr>
          <w:iCs/>
          <w:color w:val="000000"/>
          <w:sz w:val="24"/>
          <w:szCs w:val="24"/>
          <w:lang w:val="en-US"/>
        </w:rPr>
        <w:instrText xml:space="preserve"> ADDIN ZOTERO_ITEM CSL_CITATION {"citationID":"TI2E6Jan","properties":{"formattedCitation":"(4)","plainCitation":"(4)","noteIndex":0},"citationItems":[{"id":370,"uris":["http://zotero.org/users/6447875/items/CQUKA8UA"],"uri":["http://zotero.org/users/6447875/items/CQUKA8UA"],"itemData":{"id":370,"type":"article-journal","container-title":"Frontiers in Immunology","DOI":"10.3389/fimmu.2020.585354","ISSN":"1664-3224","journalAbbreviation":"Front. Immunol.","page":"585354","source":"DOI.org (Crossref)","title":"A Review of the Progress and Challenges of Developing a Vaccine for COVID-19","volume":"11","author":[{"family":"Sharma","given":"Omna"},{"family":"Sultan","given":"Ali A."},{"family":"Ding","given":"Hong"},{"family":"Triggle","given":"Chris R."}],"issued":{"date-parts":[["2020",10,14]]}},"locator":"-19"}],"schema":"https://github.com/citation-style-language/schema/raw/master/csl-citation.json"} </w:instrText>
      </w:r>
      <w:r w:rsidRPr="00CA3081">
        <w:rPr>
          <w:iCs/>
          <w:color w:val="000000"/>
          <w:sz w:val="24"/>
          <w:szCs w:val="24"/>
          <w:lang w:val="en-US"/>
        </w:rPr>
        <w:fldChar w:fldCharType="separate"/>
      </w:r>
      <w:r w:rsidR="005C635D" w:rsidRPr="005C635D">
        <w:rPr>
          <w:sz w:val="24"/>
          <w:lang w:val="en-US"/>
        </w:rPr>
        <w:t>(4)</w:t>
      </w:r>
      <w:r w:rsidRPr="00CA3081">
        <w:rPr>
          <w:color w:val="000000"/>
          <w:sz w:val="24"/>
          <w:szCs w:val="24"/>
        </w:rPr>
        <w:fldChar w:fldCharType="end"/>
      </w:r>
      <w:r w:rsidRPr="00CA3081">
        <w:rPr>
          <w:iCs/>
          <w:color w:val="000000"/>
          <w:sz w:val="24"/>
          <w:szCs w:val="24"/>
          <w:lang w:val="en-US"/>
        </w:rPr>
        <w:t xml:space="preserve">. Although there is no definitive experience of the effectiveness of vaccines yet, vaccine studies for a </w:t>
      </w:r>
    </w:p>
    <w:p w:rsidR="00CA3081" w:rsidRDefault="00CA3081" w:rsidP="00CA3081">
      <w:pPr>
        <w:ind w:firstLine="426"/>
        <w:jc w:val="both"/>
        <w:rPr>
          <w:iCs/>
          <w:color w:val="000000"/>
          <w:sz w:val="24"/>
          <w:szCs w:val="24"/>
          <w:lang w:val="en-US"/>
        </w:rPr>
      </w:pPr>
    </w:p>
    <w:p w:rsidR="00CA3081" w:rsidRDefault="00CA3081" w:rsidP="00CA3081">
      <w:pPr>
        <w:ind w:firstLine="426"/>
        <w:jc w:val="both"/>
        <w:rPr>
          <w:iCs/>
          <w:color w:val="000000"/>
          <w:sz w:val="24"/>
          <w:szCs w:val="24"/>
          <w:lang w:val="en-US"/>
        </w:rPr>
      </w:pPr>
    </w:p>
    <w:p w:rsidR="00CA3081" w:rsidRPr="00CA3081" w:rsidRDefault="00CA3081" w:rsidP="00CA3081">
      <w:pPr>
        <w:ind w:firstLine="426"/>
        <w:jc w:val="both"/>
        <w:rPr>
          <w:iCs/>
          <w:color w:val="000000"/>
          <w:sz w:val="24"/>
          <w:szCs w:val="24"/>
          <w:lang w:val="en-US"/>
        </w:rPr>
      </w:pPr>
      <w:r w:rsidRPr="00CA3081">
        <w:rPr>
          <w:iCs/>
          <w:color w:val="000000"/>
          <w:sz w:val="24"/>
          <w:szCs w:val="24"/>
          <w:lang w:val="en-US"/>
        </w:rPr>
        <w:t xml:space="preserve">permanent solution continue to be followed by people with hope. Although the world was expecting a relief, studies began to show that people who have already had COVID-19 were again admitted to the hospital due to COVID-19 positivity </w:t>
      </w:r>
      <w:r w:rsidRPr="00CA3081">
        <w:rPr>
          <w:iCs/>
          <w:color w:val="000000"/>
          <w:sz w:val="24"/>
          <w:szCs w:val="24"/>
          <w:lang w:val="en-US"/>
        </w:rPr>
        <w:fldChar w:fldCharType="begin"/>
      </w:r>
      <w:r w:rsidR="005C635D">
        <w:rPr>
          <w:iCs/>
          <w:color w:val="000000"/>
          <w:sz w:val="24"/>
          <w:szCs w:val="24"/>
          <w:lang w:val="en-US"/>
        </w:rPr>
        <w:instrText xml:space="preserve"> ADDIN ZOTERO_ITEM CSL_CITATION {"citationID":"eI8B5Q4X","properties":{"formattedCitation":"(5)","plainCitation":"(5)","noteIndex":0},"citationItems":[{"id":372,"uris":["http://zotero.org/users/6447875/items/DW9F83YL"],"uri":["http://zotero.org/users/6447875/items/DW9F83YL"],"itemData":{"id":372,"type":"article-journal","container-title":"JAMA","DOI":"10.1001/jama.2020.2783","ISSN":"0098-7484","issue":"15","journalAbbreviation":"JAMA","language":"en","page":"1502","source":"DOI.org (Crossref)","title":"Positive RT-PCR Test Results in Patients Recovered From COVID-19","volume":"323","author":[{"family":"Lan","given":"Lan"},{"family":"Xu","given":"Dan"},{"family":"Ye","given":"Guangming"},{"family":"Xia","given":"Chen"},{"family":"Wang","given":"Shaokang"},{"family":"Li","given":"Yirong"},{"family":"Xu","given":"Haibo"}],"issued":{"date-parts":[["2020",4,21]]}},"locator":"-19"}],"schema":"https://github.com/citation-style-language/schema/raw/master/csl-citation.json"} </w:instrText>
      </w:r>
      <w:r w:rsidRPr="00CA3081">
        <w:rPr>
          <w:iCs/>
          <w:color w:val="000000"/>
          <w:sz w:val="24"/>
          <w:szCs w:val="24"/>
          <w:lang w:val="en-US"/>
        </w:rPr>
        <w:fldChar w:fldCharType="separate"/>
      </w:r>
      <w:r w:rsidR="005C635D" w:rsidRPr="005C635D">
        <w:rPr>
          <w:sz w:val="24"/>
          <w:lang w:val="en-US"/>
        </w:rPr>
        <w:t>(5)</w:t>
      </w:r>
      <w:r w:rsidRPr="00CA3081">
        <w:rPr>
          <w:color w:val="000000"/>
          <w:sz w:val="24"/>
          <w:szCs w:val="24"/>
        </w:rPr>
        <w:fldChar w:fldCharType="end"/>
      </w:r>
      <w:r w:rsidRPr="00CA3081">
        <w:rPr>
          <w:iCs/>
          <w:color w:val="000000"/>
          <w:sz w:val="24"/>
          <w:szCs w:val="24"/>
          <w:lang w:val="en-US"/>
        </w:rPr>
        <w:t>. When someone who has had COVID-19 tests positive again for COVID-19? Is reinfection possible? How long antibodies protect us? How long the protection will last through the vaccines that induce antibodies in the fight against COVID-19? These questions come to mind without an answer yet. In order to find answers to these questions, there must be sufficient number of studies in the current medical literature on recurrent COVID-19 cases.</w:t>
      </w:r>
    </w:p>
    <w:p w:rsidR="00CA3081" w:rsidRPr="00CA3081" w:rsidRDefault="00CA3081" w:rsidP="00CA3081">
      <w:pPr>
        <w:ind w:firstLine="426"/>
        <w:jc w:val="both"/>
        <w:rPr>
          <w:iCs/>
          <w:color w:val="000000"/>
          <w:sz w:val="24"/>
          <w:szCs w:val="24"/>
          <w:lang w:val="en-US"/>
        </w:rPr>
      </w:pPr>
    </w:p>
    <w:p w:rsidR="00CA3081" w:rsidRPr="00CA3081" w:rsidRDefault="00CA3081" w:rsidP="00CA3081">
      <w:pPr>
        <w:ind w:firstLine="426"/>
        <w:jc w:val="both"/>
        <w:rPr>
          <w:iCs/>
          <w:color w:val="000000"/>
          <w:sz w:val="24"/>
          <w:szCs w:val="24"/>
          <w:lang w:val="en-US"/>
        </w:rPr>
      </w:pPr>
      <w:r w:rsidRPr="00CA3081">
        <w:rPr>
          <w:iCs/>
          <w:color w:val="000000"/>
          <w:sz w:val="24"/>
          <w:szCs w:val="24"/>
          <w:lang w:val="en-US"/>
        </w:rPr>
        <w:t xml:space="preserve">This study aims to identify whether there were recurrent RT-PCR positive patients who have tested positive for COVID-19 before, the demographic characteristics of these patients, the duration between recurrent positive test results, re-hospitalization status, and </w:t>
      </w:r>
      <w:r w:rsidRPr="00CA3081">
        <w:rPr>
          <w:iCs/>
          <w:color w:val="000000"/>
          <w:sz w:val="24"/>
          <w:szCs w:val="24"/>
          <w:lang w:val="en-US"/>
        </w:rPr>
        <w:lastRenderedPageBreak/>
        <w:t>mortality. In this way, the study aims to contribute to the current medical literature in terms of supporting the studies of valuable researchers looking for answers to the above-mentioned questions.</w:t>
      </w:r>
    </w:p>
    <w:p w:rsidR="00CA3081" w:rsidRPr="00CA3081" w:rsidRDefault="00CA3081" w:rsidP="00CA3081">
      <w:pPr>
        <w:ind w:firstLine="426"/>
        <w:jc w:val="both"/>
        <w:rPr>
          <w:iCs/>
          <w:color w:val="000000"/>
          <w:sz w:val="24"/>
          <w:szCs w:val="24"/>
          <w:lang w:val="en-US"/>
        </w:rPr>
      </w:pPr>
    </w:p>
    <w:p w:rsidR="00CA3081" w:rsidRPr="00CA3081" w:rsidRDefault="00CA3081" w:rsidP="00CA3081">
      <w:pPr>
        <w:ind w:firstLine="426"/>
        <w:jc w:val="both"/>
        <w:rPr>
          <w:iCs/>
          <w:color w:val="000000"/>
          <w:sz w:val="24"/>
          <w:szCs w:val="24"/>
          <w:lang w:val="en-US"/>
        </w:rPr>
      </w:pPr>
    </w:p>
    <w:p w:rsidR="00CA3081" w:rsidRPr="00CA3081" w:rsidRDefault="00CA3081" w:rsidP="00CA3081">
      <w:pPr>
        <w:ind w:firstLine="426"/>
        <w:jc w:val="both"/>
        <w:rPr>
          <w:b/>
          <w:iCs/>
          <w:color w:val="000000"/>
          <w:sz w:val="24"/>
          <w:szCs w:val="24"/>
          <w:lang w:val="en-US"/>
        </w:rPr>
      </w:pPr>
      <w:r w:rsidRPr="00CA3081">
        <w:rPr>
          <w:b/>
          <w:iCs/>
          <w:color w:val="000000"/>
          <w:sz w:val="24"/>
          <w:szCs w:val="24"/>
          <w:lang w:val="en-US"/>
        </w:rPr>
        <w:t>MATERIAL-METHOD</w:t>
      </w:r>
    </w:p>
    <w:p w:rsidR="00CA3081" w:rsidRPr="00CA3081" w:rsidRDefault="00CA3081" w:rsidP="00CA3081">
      <w:pPr>
        <w:ind w:firstLine="426"/>
        <w:jc w:val="both"/>
        <w:rPr>
          <w:iCs/>
          <w:color w:val="000000"/>
          <w:sz w:val="24"/>
          <w:szCs w:val="24"/>
          <w:lang w:val="en-US"/>
        </w:rPr>
      </w:pPr>
      <w:r w:rsidRPr="00CA3081">
        <w:rPr>
          <w:iCs/>
          <w:color w:val="000000"/>
          <w:sz w:val="24"/>
          <w:szCs w:val="24"/>
          <w:lang w:val="en-US"/>
        </w:rPr>
        <w:t>This study was conducted at the 1300-bed Sakarya University Training and Research Hospital (SEAH), the largest hospital in Sakarya province, which served as a pandemic hospital during the COVID-19 pandemic. In SEAH, admission for the first suspected or symptomatic cases are handled in reserved areas in the emergency department. All cases who tested positive again at least 14 days after the first RT-PCR positive test result, who admitted to the SEAH emergency department from 19/03/2020, which is the time of the first Real-Time Reverse Transcription-Polymerase Chain Reaction (RT-PCR) positive COVID-19 case, until 05/01/2021 were included in the research. Undecided cases, those with typical chest tomography findings without a positive RT-PCR test, and patients under the age of 18 were excluded from the research.</w:t>
      </w:r>
    </w:p>
    <w:p w:rsidR="00CA3081" w:rsidRPr="00CA3081" w:rsidRDefault="00CA3081" w:rsidP="00CA3081">
      <w:pPr>
        <w:ind w:firstLine="426"/>
        <w:jc w:val="both"/>
        <w:rPr>
          <w:iCs/>
          <w:color w:val="000000"/>
          <w:sz w:val="24"/>
          <w:szCs w:val="24"/>
          <w:lang w:val="en-US"/>
        </w:rPr>
      </w:pPr>
    </w:p>
    <w:p w:rsidR="00CA3081" w:rsidRPr="00CA3081" w:rsidRDefault="00CA3081" w:rsidP="00CA3081">
      <w:pPr>
        <w:ind w:firstLine="426"/>
        <w:jc w:val="both"/>
        <w:rPr>
          <w:iCs/>
          <w:color w:val="000000"/>
          <w:sz w:val="24"/>
          <w:szCs w:val="24"/>
          <w:lang w:val="en-US"/>
        </w:rPr>
      </w:pPr>
      <w:r w:rsidRPr="00CA3081">
        <w:rPr>
          <w:iCs/>
          <w:color w:val="000000"/>
          <w:sz w:val="24"/>
          <w:szCs w:val="24"/>
          <w:lang w:val="en-US"/>
        </w:rPr>
        <w:t>First nasopharyngeal and then oropharyngeal RT-PCR samples were collected in a combined and sequential manner.</w:t>
      </w:r>
    </w:p>
    <w:p w:rsidR="00CA3081" w:rsidRPr="00CA3081" w:rsidRDefault="00CA3081" w:rsidP="00CA3081">
      <w:pPr>
        <w:ind w:firstLine="426"/>
        <w:jc w:val="both"/>
        <w:rPr>
          <w:iCs/>
          <w:color w:val="000000"/>
          <w:sz w:val="24"/>
          <w:szCs w:val="24"/>
          <w:lang w:val="en-US"/>
        </w:rPr>
      </w:pPr>
    </w:p>
    <w:p w:rsidR="00CA3081" w:rsidRPr="00CA3081" w:rsidRDefault="00CA3081" w:rsidP="00CA3081">
      <w:pPr>
        <w:ind w:firstLine="426"/>
        <w:jc w:val="both"/>
        <w:rPr>
          <w:iCs/>
          <w:color w:val="000000"/>
          <w:sz w:val="24"/>
          <w:szCs w:val="24"/>
          <w:lang w:val="en-US"/>
        </w:rPr>
      </w:pPr>
      <w:r w:rsidRPr="00CA3081">
        <w:rPr>
          <w:iCs/>
          <w:color w:val="000000"/>
          <w:sz w:val="24"/>
          <w:szCs w:val="24"/>
          <w:lang w:val="en-US"/>
        </w:rPr>
        <w:t xml:space="preserve">According to the COVID-19 guidelines of the Ministry of Health in Turkey, 14 days of isolation were applied to patients who tested positive for COVID-19 RT-PCR in the first days of the pandemic, without requiring a negative RT-PCR test immediately after the treatment and isolation periods. Later, with the updates made in the guidelines, isolation was applied for 10 days for outpatient patients, 14 days for patients who were hospitalized for more than one day in the service, and 20 days for patients who were hospitalized in intensive care. Therefore, since there was no routine to perform RT-PCR test again in the first 14 days for the patients who tested positive, patients whose time </w:t>
      </w:r>
      <w:r w:rsidRPr="00CA3081">
        <w:rPr>
          <w:iCs/>
          <w:color w:val="000000"/>
          <w:sz w:val="24"/>
          <w:szCs w:val="24"/>
          <w:lang w:val="en-US"/>
        </w:rPr>
        <w:lastRenderedPageBreak/>
        <w:t>between two RT-PCR positives more than 14 days were included in the study.</w:t>
      </w:r>
    </w:p>
    <w:p w:rsidR="00CA3081" w:rsidRPr="00CA3081" w:rsidRDefault="00CA3081" w:rsidP="00CA3081">
      <w:pPr>
        <w:ind w:firstLine="426"/>
        <w:jc w:val="both"/>
        <w:rPr>
          <w:iCs/>
          <w:color w:val="000000"/>
          <w:sz w:val="24"/>
          <w:szCs w:val="24"/>
          <w:lang w:val="en-US"/>
        </w:rPr>
      </w:pPr>
    </w:p>
    <w:p w:rsidR="00CA3081" w:rsidRPr="00CA3081" w:rsidRDefault="00CA3081" w:rsidP="00CA3081">
      <w:pPr>
        <w:ind w:firstLine="426"/>
        <w:jc w:val="both"/>
        <w:rPr>
          <w:iCs/>
          <w:color w:val="000000"/>
          <w:sz w:val="24"/>
          <w:szCs w:val="24"/>
          <w:lang w:val="en-US"/>
        </w:rPr>
      </w:pPr>
      <w:r w:rsidRPr="00CA3081">
        <w:rPr>
          <w:iCs/>
          <w:color w:val="000000"/>
          <w:sz w:val="24"/>
          <w:szCs w:val="24"/>
          <w:lang w:val="en-US"/>
        </w:rPr>
        <w:t xml:space="preserve">The data were obtained from the hospital automation system and patient files with the permission obtained from the SEAH Chief Physician Office on 14/01/2021, by paying attention to the confidentiality of personal data. The data obtained were evaluated using the IBM Statistical Package for the Social Sciences (SPSS) version 21 statistics program, and the Skewness and Kurtosis values in the range of -2/+2 were tested for compliance with the normal distribution of the data </w:t>
      </w:r>
      <w:r w:rsidRPr="00CA3081">
        <w:rPr>
          <w:iCs/>
          <w:color w:val="000000"/>
          <w:sz w:val="24"/>
          <w:szCs w:val="24"/>
          <w:lang w:val="en-US"/>
        </w:rPr>
        <w:fldChar w:fldCharType="begin"/>
      </w:r>
      <w:r w:rsidR="005C635D">
        <w:rPr>
          <w:iCs/>
          <w:color w:val="000000"/>
          <w:sz w:val="24"/>
          <w:szCs w:val="24"/>
          <w:lang w:val="en-US"/>
        </w:rPr>
        <w:instrText xml:space="preserve"> ADDIN ZOTERO_ITEM CSL_CITATION {"citationID":"LSC1hHbL","properties":{"formattedCitation":"(6)","plainCitation":"(6)","noteIndex":0},"citationItems":[{"id":362,"uris":["http://zotero.org/users/6447875/items/M4URIGDK"],"uri":["http://zotero.org/users/6447875/items/M4URIGDK"],"itemData":{"id":362,"type":"book","call-number":"HA32","edition":"Fifteenth edition","event-place":"New York ; London","ISBN":"978-1-351-03388-6","language":"English","number-of-pages":"404","publisher":"Routledge, Taylor &amp; Francis Group","publisher-place":"New York ; London","source":"Library of Congress ISBN","title":"IBM SPSS statistics 25 step by step: a simple guide and reference","title-short":"IBM SPSS statistics 25 step by step","author":[{"family":"George","given":"Darren"},{"family":"Mallery","given":"Paul"}],"issued":{"date-parts":[["2019"]]}}}],"schema":"https://github.com/citation-style-language/schema/raw/master/csl-citation.json"} </w:instrText>
      </w:r>
      <w:r w:rsidRPr="00CA3081">
        <w:rPr>
          <w:iCs/>
          <w:color w:val="000000"/>
          <w:sz w:val="24"/>
          <w:szCs w:val="24"/>
          <w:lang w:val="en-US"/>
        </w:rPr>
        <w:fldChar w:fldCharType="separate"/>
      </w:r>
      <w:r w:rsidR="005C635D" w:rsidRPr="005C635D">
        <w:rPr>
          <w:sz w:val="24"/>
          <w:lang w:val="en-US"/>
        </w:rPr>
        <w:t>(6)</w:t>
      </w:r>
      <w:r w:rsidRPr="00CA3081">
        <w:rPr>
          <w:color w:val="000000"/>
          <w:sz w:val="24"/>
          <w:szCs w:val="24"/>
        </w:rPr>
        <w:fldChar w:fldCharType="end"/>
      </w:r>
      <w:r w:rsidRPr="00CA3081">
        <w:rPr>
          <w:iCs/>
          <w:color w:val="000000"/>
          <w:sz w:val="24"/>
          <w:szCs w:val="24"/>
          <w:lang w:val="en-US"/>
        </w:rPr>
        <w:t>. The Pearson correlation test was used for the correlation of those within this interval. Values outside this range were considered to have non-normal distribution, and the Spearman correlation test was used for non-parametric correlation analysis.</w:t>
      </w:r>
    </w:p>
    <w:p w:rsidR="00CA3081" w:rsidRPr="00CA3081" w:rsidRDefault="00CA3081" w:rsidP="00CA3081">
      <w:pPr>
        <w:ind w:firstLine="426"/>
        <w:jc w:val="both"/>
        <w:rPr>
          <w:iCs/>
          <w:color w:val="000000"/>
          <w:sz w:val="24"/>
          <w:szCs w:val="24"/>
          <w:lang w:val="en-US"/>
        </w:rPr>
      </w:pPr>
    </w:p>
    <w:p w:rsidR="00CA3081" w:rsidRPr="00CA3081" w:rsidRDefault="00CA3081" w:rsidP="00CA3081">
      <w:pPr>
        <w:ind w:firstLine="426"/>
        <w:jc w:val="both"/>
        <w:rPr>
          <w:iCs/>
          <w:color w:val="000000"/>
          <w:sz w:val="24"/>
          <w:szCs w:val="24"/>
          <w:lang w:val="en-US"/>
        </w:rPr>
      </w:pPr>
      <w:r w:rsidRPr="00CA3081">
        <w:rPr>
          <w:iCs/>
          <w:color w:val="000000"/>
          <w:sz w:val="24"/>
          <w:szCs w:val="24"/>
          <w:lang w:val="en-US"/>
        </w:rPr>
        <w:t>Chi square test was used to compare categorical data. For the results, p&lt;0.05 was considered statistically significant.</w:t>
      </w:r>
    </w:p>
    <w:p w:rsidR="00CA3081" w:rsidRPr="00CA3081" w:rsidRDefault="00CA3081" w:rsidP="00CA3081">
      <w:pPr>
        <w:ind w:firstLine="426"/>
        <w:jc w:val="both"/>
        <w:rPr>
          <w:iCs/>
          <w:color w:val="000000"/>
          <w:sz w:val="24"/>
          <w:szCs w:val="24"/>
          <w:lang w:val="en-US"/>
        </w:rPr>
      </w:pPr>
      <w:r w:rsidRPr="00CA3081">
        <w:rPr>
          <w:iCs/>
          <w:color w:val="000000"/>
          <w:sz w:val="24"/>
          <w:szCs w:val="24"/>
          <w:lang w:val="en-US"/>
        </w:rPr>
        <w:t>A Scientific Research permit, dated 11/01/2021, was obtained from the Republic of Turkey Ministry of Health.</w:t>
      </w:r>
    </w:p>
    <w:p w:rsidR="00CA3081" w:rsidRPr="00CA3081" w:rsidRDefault="00CA3081" w:rsidP="00CA3081">
      <w:pPr>
        <w:ind w:firstLine="426"/>
        <w:jc w:val="both"/>
        <w:rPr>
          <w:iCs/>
          <w:color w:val="000000"/>
          <w:sz w:val="24"/>
          <w:szCs w:val="24"/>
          <w:lang w:val="en-US"/>
        </w:rPr>
      </w:pPr>
    </w:p>
    <w:p w:rsidR="00CA3081" w:rsidRPr="00CA3081" w:rsidRDefault="00CA3081" w:rsidP="00CA3081">
      <w:pPr>
        <w:ind w:firstLine="426"/>
        <w:jc w:val="both"/>
        <w:rPr>
          <w:b/>
          <w:iCs/>
          <w:color w:val="000000"/>
          <w:sz w:val="24"/>
          <w:szCs w:val="24"/>
          <w:lang w:val="en-US"/>
        </w:rPr>
      </w:pPr>
      <w:r w:rsidRPr="00CA3081">
        <w:rPr>
          <w:b/>
          <w:iCs/>
          <w:color w:val="000000"/>
          <w:sz w:val="24"/>
          <w:szCs w:val="24"/>
          <w:lang w:val="en-US"/>
        </w:rPr>
        <w:t>RESULTS AND DISCUSSION</w:t>
      </w:r>
    </w:p>
    <w:p w:rsidR="00CA3081" w:rsidRPr="00CA3081" w:rsidRDefault="00CA3081" w:rsidP="00CA3081">
      <w:pPr>
        <w:ind w:firstLine="426"/>
        <w:jc w:val="both"/>
        <w:rPr>
          <w:iCs/>
          <w:color w:val="000000"/>
          <w:sz w:val="24"/>
          <w:szCs w:val="24"/>
          <w:lang w:val="en-US"/>
        </w:rPr>
      </w:pPr>
      <w:r w:rsidRPr="00CA3081">
        <w:rPr>
          <w:iCs/>
          <w:color w:val="000000"/>
          <w:sz w:val="24"/>
          <w:szCs w:val="24"/>
          <w:lang w:val="en-US"/>
        </w:rPr>
        <w:t>The number of patients who tested positive for RT-PCR for the second time was 190, with at least 15 days interval during the study period. Of these patients, 97 (51.1%) were male and 93 (48.9%) were female. The average age was 43.98 years (±16.3), the median age was 41.5 years, the minimum was 19 years, and the maximum was 86 years.</w:t>
      </w:r>
    </w:p>
    <w:p w:rsidR="00CA3081" w:rsidRDefault="00CA3081" w:rsidP="00CA3081">
      <w:pPr>
        <w:ind w:firstLine="426"/>
        <w:jc w:val="both"/>
        <w:rPr>
          <w:color w:val="000000"/>
          <w:sz w:val="24"/>
          <w:szCs w:val="24"/>
          <w:lang w:val="en-US"/>
        </w:rPr>
      </w:pPr>
      <w:r w:rsidRPr="00CA3081">
        <w:rPr>
          <w:iCs/>
          <w:color w:val="000000"/>
          <w:sz w:val="24"/>
          <w:szCs w:val="24"/>
          <w:lang w:val="en-US"/>
        </w:rPr>
        <w:t>Of the patients, 147 (77.4%) were never hospitalized, and 43 (22.6%) were hospitalized at least once and treated. The hospitalization status of the patients is shown in Table 1.</w:t>
      </w:r>
      <w:r w:rsidRPr="00CA3081">
        <w:rPr>
          <w:color w:val="000000"/>
          <w:sz w:val="24"/>
          <w:szCs w:val="24"/>
          <w:lang w:val="en-US"/>
        </w:rPr>
        <w:t xml:space="preserve"> </w:t>
      </w:r>
    </w:p>
    <w:p w:rsidR="005C635D" w:rsidRDefault="005C635D" w:rsidP="00CA3081">
      <w:pPr>
        <w:ind w:firstLine="426"/>
        <w:jc w:val="both"/>
        <w:rPr>
          <w:color w:val="000000"/>
          <w:sz w:val="24"/>
          <w:szCs w:val="24"/>
          <w:lang w:val="en-US"/>
        </w:rPr>
      </w:pPr>
    </w:p>
    <w:p w:rsidR="005C635D" w:rsidRDefault="005C635D" w:rsidP="00CA3081">
      <w:pPr>
        <w:ind w:firstLine="426"/>
        <w:jc w:val="both"/>
        <w:rPr>
          <w:color w:val="000000"/>
          <w:sz w:val="24"/>
          <w:szCs w:val="24"/>
          <w:lang w:val="en-US"/>
        </w:rPr>
      </w:pPr>
    </w:p>
    <w:p w:rsidR="005C635D" w:rsidRDefault="005C635D" w:rsidP="00CA3081">
      <w:pPr>
        <w:ind w:firstLine="426"/>
        <w:jc w:val="both"/>
        <w:rPr>
          <w:color w:val="000000"/>
          <w:sz w:val="24"/>
          <w:szCs w:val="24"/>
          <w:lang w:val="en-US"/>
        </w:rPr>
      </w:pPr>
    </w:p>
    <w:p w:rsidR="005C635D" w:rsidRDefault="005C635D" w:rsidP="00CA3081">
      <w:pPr>
        <w:ind w:firstLine="426"/>
        <w:jc w:val="both"/>
        <w:rPr>
          <w:color w:val="000000"/>
          <w:sz w:val="24"/>
          <w:szCs w:val="24"/>
          <w:lang w:val="en-US"/>
        </w:rPr>
      </w:pPr>
    </w:p>
    <w:p w:rsidR="005C635D" w:rsidRPr="00CA3081" w:rsidRDefault="005C635D" w:rsidP="00CA3081">
      <w:pPr>
        <w:ind w:firstLine="426"/>
        <w:jc w:val="both"/>
        <w:rPr>
          <w:color w:val="000000"/>
          <w:sz w:val="24"/>
          <w:szCs w:val="24"/>
          <w:lang w:val="en-US"/>
        </w:rPr>
      </w:pPr>
    </w:p>
    <w:p w:rsidR="00CA3081" w:rsidRPr="00CA3081" w:rsidRDefault="00CA3081" w:rsidP="00CA3081">
      <w:pPr>
        <w:ind w:firstLine="426"/>
        <w:jc w:val="both"/>
        <w:rPr>
          <w:b/>
          <w:bCs/>
          <w:color w:val="000000"/>
          <w:sz w:val="24"/>
          <w:szCs w:val="24"/>
          <w:lang w:val="en-US"/>
        </w:rPr>
      </w:pPr>
    </w:p>
    <w:p w:rsidR="00CA3081" w:rsidRPr="00CA3081" w:rsidRDefault="00CA3081" w:rsidP="00CA3081">
      <w:pPr>
        <w:ind w:firstLine="426"/>
        <w:jc w:val="both"/>
        <w:rPr>
          <w:color w:val="000000"/>
          <w:sz w:val="24"/>
          <w:szCs w:val="24"/>
          <w:lang w:val="en-US"/>
        </w:rPr>
      </w:pPr>
      <w:r w:rsidRPr="00CA3081">
        <w:rPr>
          <w:b/>
          <w:bCs/>
          <w:color w:val="000000"/>
          <w:sz w:val="24"/>
          <w:szCs w:val="24"/>
          <w:lang w:val="en-US"/>
        </w:rPr>
        <w:t>Table 1.</w:t>
      </w:r>
      <w:r w:rsidRPr="00CA3081">
        <w:rPr>
          <w:color w:val="000000"/>
          <w:sz w:val="24"/>
          <w:szCs w:val="24"/>
          <w:lang w:val="en-US"/>
        </w:rPr>
        <w:t xml:space="preserve"> Hospitalization Status</w:t>
      </w:r>
    </w:p>
    <w:tbl>
      <w:tblPr>
        <w:tblW w:w="6647" w:type="dxa"/>
        <w:tblInd w:w="157" w:type="dxa"/>
        <w:tblBorders>
          <w:top w:val="single" w:sz="18" w:space="0" w:color="00000A"/>
          <w:bottom w:val="single" w:sz="18" w:space="0" w:color="00000A"/>
          <w:insideH w:val="single" w:sz="18" w:space="0" w:color="00000A"/>
        </w:tblBorders>
        <w:tblLook w:val="0000" w:firstRow="0" w:lastRow="0" w:firstColumn="0" w:lastColumn="0" w:noHBand="0" w:noVBand="0"/>
      </w:tblPr>
      <w:tblGrid>
        <w:gridCol w:w="2203"/>
        <w:gridCol w:w="2230"/>
        <w:gridCol w:w="2214"/>
      </w:tblGrid>
      <w:tr w:rsidR="00CA3081" w:rsidRPr="00CA3081" w:rsidTr="00F34AB7">
        <w:tc>
          <w:tcPr>
            <w:tcW w:w="2109" w:type="dxa"/>
            <w:tcBorders>
              <w:top w:val="single" w:sz="18" w:space="0" w:color="00000A"/>
              <w:bottom w:val="single" w:sz="18" w:space="0" w:color="00000A"/>
            </w:tcBorders>
            <w:shd w:val="clear" w:color="auto" w:fill="4472C4"/>
          </w:tcPr>
          <w:p w:rsidR="00CA3081" w:rsidRPr="00CA3081" w:rsidRDefault="00CA3081" w:rsidP="00CA3081">
            <w:pPr>
              <w:ind w:firstLine="426"/>
              <w:jc w:val="both"/>
              <w:rPr>
                <w:b/>
                <w:bCs/>
                <w:color w:val="000000"/>
                <w:sz w:val="24"/>
                <w:szCs w:val="24"/>
                <w:lang w:val="en-US"/>
              </w:rPr>
            </w:pPr>
            <w:r w:rsidRPr="00CA3081">
              <w:rPr>
                <w:b/>
                <w:bCs/>
                <w:color w:val="000000"/>
                <w:sz w:val="24"/>
                <w:szCs w:val="24"/>
                <w:lang w:val="en-US"/>
              </w:rPr>
              <w:t>Hospitalization</w:t>
            </w:r>
          </w:p>
        </w:tc>
        <w:tc>
          <w:tcPr>
            <w:tcW w:w="2275" w:type="dxa"/>
            <w:tcBorders>
              <w:top w:val="single" w:sz="18" w:space="0" w:color="00000A"/>
              <w:bottom w:val="single" w:sz="18" w:space="0" w:color="00000A"/>
            </w:tcBorders>
            <w:shd w:val="clear" w:color="auto" w:fill="4472C4"/>
          </w:tcPr>
          <w:p w:rsidR="00CA3081" w:rsidRPr="00CA3081" w:rsidRDefault="00CA3081" w:rsidP="00CA3081">
            <w:pPr>
              <w:ind w:firstLine="426"/>
              <w:jc w:val="both"/>
              <w:rPr>
                <w:b/>
                <w:bCs/>
                <w:color w:val="000000"/>
                <w:sz w:val="24"/>
                <w:szCs w:val="24"/>
                <w:lang w:val="en-US"/>
              </w:rPr>
            </w:pPr>
            <w:r w:rsidRPr="00CA3081">
              <w:rPr>
                <w:b/>
                <w:bCs/>
                <w:color w:val="000000"/>
                <w:sz w:val="24"/>
                <w:szCs w:val="24"/>
                <w:lang w:val="en-US"/>
              </w:rPr>
              <w:t>Number</w:t>
            </w:r>
          </w:p>
        </w:tc>
        <w:tc>
          <w:tcPr>
            <w:tcW w:w="2263" w:type="dxa"/>
            <w:tcBorders>
              <w:top w:val="single" w:sz="18" w:space="0" w:color="00000A"/>
              <w:bottom w:val="single" w:sz="18" w:space="0" w:color="00000A"/>
            </w:tcBorders>
            <w:shd w:val="clear" w:color="auto" w:fill="4472C4"/>
          </w:tcPr>
          <w:p w:rsidR="00CA3081" w:rsidRPr="00CA3081" w:rsidRDefault="00CA3081" w:rsidP="00CA3081">
            <w:pPr>
              <w:ind w:firstLine="426"/>
              <w:jc w:val="both"/>
              <w:rPr>
                <w:b/>
                <w:bCs/>
                <w:color w:val="000000"/>
                <w:sz w:val="24"/>
                <w:szCs w:val="24"/>
                <w:lang w:val="en-US"/>
              </w:rPr>
            </w:pPr>
            <w:r w:rsidRPr="00CA3081">
              <w:rPr>
                <w:b/>
                <w:bCs/>
                <w:color w:val="000000"/>
                <w:sz w:val="24"/>
                <w:szCs w:val="24"/>
                <w:lang w:val="en-US"/>
              </w:rPr>
              <w:t>Percent %</w:t>
            </w:r>
          </w:p>
        </w:tc>
      </w:tr>
      <w:tr w:rsidR="00CA3081" w:rsidRPr="00CA3081" w:rsidTr="00F34AB7">
        <w:tc>
          <w:tcPr>
            <w:tcW w:w="2109"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lastRenderedPageBreak/>
              <w:t>Never hospitalized</w:t>
            </w:r>
          </w:p>
        </w:tc>
        <w:tc>
          <w:tcPr>
            <w:tcW w:w="2275"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147</w:t>
            </w:r>
          </w:p>
        </w:tc>
        <w:tc>
          <w:tcPr>
            <w:tcW w:w="2263"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77.4</w:t>
            </w:r>
          </w:p>
        </w:tc>
      </w:tr>
      <w:tr w:rsidR="00CA3081" w:rsidRPr="00CA3081" w:rsidTr="00F34AB7">
        <w:tc>
          <w:tcPr>
            <w:tcW w:w="2109"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At the first admission</w:t>
            </w:r>
          </w:p>
        </w:tc>
        <w:tc>
          <w:tcPr>
            <w:tcW w:w="2275"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29</w:t>
            </w:r>
          </w:p>
        </w:tc>
        <w:tc>
          <w:tcPr>
            <w:tcW w:w="2263"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15.2</w:t>
            </w:r>
          </w:p>
        </w:tc>
      </w:tr>
      <w:tr w:rsidR="00CA3081" w:rsidRPr="00CA3081" w:rsidTr="00F34AB7">
        <w:tc>
          <w:tcPr>
            <w:tcW w:w="2109"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At the second admission</w:t>
            </w:r>
          </w:p>
        </w:tc>
        <w:tc>
          <w:tcPr>
            <w:tcW w:w="2275"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7</w:t>
            </w:r>
          </w:p>
        </w:tc>
        <w:tc>
          <w:tcPr>
            <w:tcW w:w="2263"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3.7</w:t>
            </w:r>
          </w:p>
        </w:tc>
      </w:tr>
      <w:tr w:rsidR="00CA3081" w:rsidRPr="00CA3081" w:rsidTr="00F34AB7">
        <w:tc>
          <w:tcPr>
            <w:tcW w:w="2109"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At both admissions</w:t>
            </w:r>
          </w:p>
        </w:tc>
        <w:tc>
          <w:tcPr>
            <w:tcW w:w="2275"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7</w:t>
            </w:r>
          </w:p>
        </w:tc>
        <w:tc>
          <w:tcPr>
            <w:tcW w:w="2263"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3.7</w:t>
            </w:r>
          </w:p>
        </w:tc>
      </w:tr>
      <w:tr w:rsidR="00CA3081" w:rsidRPr="00CA3081" w:rsidTr="00F34AB7">
        <w:tc>
          <w:tcPr>
            <w:tcW w:w="2109" w:type="dxa"/>
            <w:tcBorders>
              <w:top w:val="double" w:sz="6" w:space="0" w:color="00000A"/>
              <w:bottom w:val="single" w:sz="18" w:space="0" w:color="00000A"/>
            </w:tcBorders>
            <w:shd w:val="clear" w:color="auto" w:fill="FFFFFF"/>
          </w:tcPr>
          <w:p w:rsidR="00CA3081" w:rsidRPr="00CA3081" w:rsidRDefault="00CA3081" w:rsidP="00CA3081">
            <w:pPr>
              <w:ind w:firstLine="426"/>
              <w:jc w:val="both"/>
              <w:rPr>
                <w:color w:val="000000"/>
                <w:sz w:val="24"/>
                <w:szCs w:val="24"/>
                <w:lang w:val="en-US"/>
              </w:rPr>
            </w:pPr>
            <w:r w:rsidRPr="00CA3081">
              <w:rPr>
                <w:color w:val="000000"/>
                <w:sz w:val="24"/>
                <w:szCs w:val="24"/>
                <w:lang w:val="en-US"/>
              </w:rPr>
              <w:t>Total</w:t>
            </w:r>
          </w:p>
        </w:tc>
        <w:tc>
          <w:tcPr>
            <w:tcW w:w="2275" w:type="dxa"/>
            <w:tcBorders>
              <w:top w:val="double" w:sz="6" w:space="0" w:color="00000A"/>
              <w:bottom w:val="single" w:sz="18" w:space="0" w:color="00000A"/>
            </w:tcBorders>
            <w:shd w:val="clear" w:color="auto" w:fill="FFFFFF"/>
          </w:tcPr>
          <w:p w:rsidR="00CA3081" w:rsidRPr="00CA3081" w:rsidRDefault="00CA3081" w:rsidP="00CA3081">
            <w:pPr>
              <w:ind w:firstLine="426"/>
              <w:jc w:val="both"/>
              <w:rPr>
                <w:color w:val="000000"/>
                <w:sz w:val="24"/>
                <w:szCs w:val="24"/>
                <w:lang w:val="en-US"/>
              </w:rPr>
            </w:pPr>
            <w:r w:rsidRPr="00CA3081">
              <w:rPr>
                <w:color w:val="000000"/>
                <w:sz w:val="24"/>
                <w:szCs w:val="24"/>
                <w:lang w:val="en-US"/>
              </w:rPr>
              <w:t>190</w:t>
            </w:r>
          </w:p>
        </w:tc>
        <w:tc>
          <w:tcPr>
            <w:tcW w:w="2263" w:type="dxa"/>
            <w:tcBorders>
              <w:top w:val="double" w:sz="6" w:space="0" w:color="00000A"/>
              <w:bottom w:val="single" w:sz="18" w:space="0" w:color="00000A"/>
            </w:tcBorders>
            <w:shd w:val="clear" w:color="auto" w:fill="FFFFFF"/>
          </w:tcPr>
          <w:p w:rsidR="00CA3081" w:rsidRPr="00CA3081" w:rsidRDefault="00CA3081" w:rsidP="00CA3081">
            <w:pPr>
              <w:ind w:firstLine="426"/>
              <w:jc w:val="both"/>
              <w:rPr>
                <w:color w:val="000000"/>
                <w:sz w:val="24"/>
                <w:szCs w:val="24"/>
                <w:lang w:val="en-US"/>
              </w:rPr>
            </w:pPr>
            <w:r w:rsidRPr="00CA3081">
              <w:rPr>
                <w:color w:val="000000"/>
                <w:sz w:val="24"/>
                <w:szCs w:val="24"/>
                <w:lang w:val="en-US"/>
              </w:rPr>
              <w:t>100</w:t>
            </w:r>
          </w:p>
        </w:tc>
      </w:tr>
    </w:tbl>
    <w:p w:rsidR="00CA3081" w:rsidRPr="00CA3081" w:rsidRDefault="00CA3081" w:rsidP="00CA3081">
      <w:pPr>
        <w:ind w:firstLine="426"/>
        <w:jc w:val="both"/>
        <w:rPr>
          <w:color w:val="000000"/>
          <w:sz w:val="24"/>
          <w:szCs w:val="24"/>
          <w:lang w:val="en-US"/>
        </w:rPr>
      </w:pPr>
    </w:p>
    <w:p w:rsidR="00CA3081" w:rsidRPr="00CA3081" w:rsidRDefault="00CA3081" w:rsidP="00CA3081">
      <w:pPr>
        <w:ind w:firstLine="426"/>
        <w:jc w:val="both"/>
        <w:rPr>
          <w:iCs/>
          <w:color w:val="000000"/>
          <w:sz w:val="24"/>
          <w:szCs w:val="24"/>
          <w:lang w:val="en-US"/>
        </w:rPr>
      </w:pPr>
      <w:r w:rsidRPr="00CA3081">
        <w:rPr>
          <w:iCs/>
          <w:color w:val="000000"/>
          <w:sz w:val="24"/>
          <w:szCs w:val="24"/>
          <w:lang w:val="en-US"/>
        </w:rPr>
        <w:t>There was a statistically significant difference in their hospitalization status in terms gender (p=0.036). Of the hospitalized patients, 28 (65.1%) were male and 15 (34.9%) were female. The average age of the inpatients was 54.67 years (±16.15), the median age was 55 years, the minimum was 25 years, and the maximum was 86 years.</w:t>
      </w:r>
    </w:p>
    <w:p w:rsidR="00CA3081" w:rsidRPr="00CA3081" w:rsidRDefault="00CA3081" w:rsidP="00CA3081">
      <w:pPr>
        <w:ind w:firstLine="426"/>
        <w:jc w:val="both"/>
        <w:rPr>
          <w:iCs/>
          <w:color w:val="000000"/>
          <w:sz w:val="24"/>
          <w:szCs w:val="24"/>
          <w:lang w:val="en-US"/>
        </w:rPr>
      </w:pPr>
    </w:p>
    <w:p w:rsidR="00CA3081" w:rsidRPr="00CA3081" w:rsidRDefault="00CA3081" w:rsidP="00CA3081">
      <w:pPr>
        <w:ind w:firstLine="426"/>
        <w:jc w:val="both"/>
        <w:rPr>
          <w:iCs/>
          <w:color w:val="000000"/>
          <w:sz w:val="24"/>
          <w:szCs w:val="24"/>
          <w:lang w:val="en-US"/>
        </w:rPr>
      </w:pPr>
      <w:r w:rsidRPr="00CA3081">
        <w:rPr>
          <w:iCs/>
          <w:color w:val="000000"/>
          <w:sz w:val="24"/>
          <w:szCs w:val="24"/>
          <w:lang w:val="en-US"/>
        </w:rPr>
        <w:t>Of the inpatients, 31 (72.1%) received treatment only in the service, and 12 (27.9%) received treatment in intensive care. Looking at the duration of hospital stay of the inpatients, it was observed that the average was 11.16 days (±8.9), between a minimum of 2 days and a maximum of 34 days. A weak, but significant positive correlation was found between the age of the patients and the duration of their hospital stay (r=0.386). Accordingly, the duration of hospital stay increases, as the age of patients increases.</w:t>
      </w:r>
    </w:p>
    <w:p w:rsidR="00CA3081" w:rsidRPr="00CA3081" w:rsidRDefault="00CA3081" w:rsidP="00CA3081">
      <w:pPr>
        <w:ind w:firstLine="426"/>
        <w:jc w:val="both"/>
        <w:rPr>
          <w:iCs/>
          <w:color w:val="000000"/>
          <w:sz w:val="24"/>
          <w:szCs w:val="24"/>
          <w:lang w:val="en-US"/>
        </w:rPr>
      </w:pPr>
    </w:p>
    <w:p w:rsidR="00CA3081" w:rsidRPr="00CA3081" w:rsidRDefault="00CA3081" w:rsidP="00CA3081">
      <w:pPr>
        <w:ind w:firstLine="426"/>
        <w:jc w:val="both"/>
        <w:rPr>
          <w:iCs/>
          <w:color w:val="000000"/>
          <w:sz w:val="24"/>
          <w:szCs w:val="24"/>
          <w:lang w:val="en-US"/>
        </w:rPr>
      </w:pPr>
      <w:r w:rsidRPr="00CA3081">
        <w:rPr>
          <w:iCs/>
          <w:color w:val="000000"/>
          <w:sz w:val="24"/>
          <w:szCs w:val="24"/>
          <w:lang w:val="en-US"/>
        </w:rPr>
        <w:t xml:space="preserve">The average time between the two positives was 52.92 days, the median value was 21.5 days, the minimum was 15 days, and the maximum was 244 days. Of these patients, 9 (4.7%) maintained their positivity despite hospitalization for 14 days. The average duration between two positive tests of patients in this group was 18.9 days (±5.01), between a minimum of 15 days and a maximum of 30 days. Looking at the time between the two positives on a monthly basis, it is seen that 117 patients (61.6%) tested positive for RT-PCR again within the first 30 days. Only 59 patients (31.1%) were found to have a negative RT-PCR result between the two RT-PCR positives. Of the patients, 131 patients (68.9%) had no negative RT-PCR results </w:t>
      </w:r>
      <w:r w:rsidRPr="00CA3081">
        <w:rPr>
          <w:iCs/>
          <w:color w:val="000000"/>
          <w:sz w:val="24"/>
          <w:szCs w:val="24"/>
          <w:lang w:val="en-US"/>
        </w:rPr>
        <w:lastRenderedPageBreak/>
        <w:t xml:space="preserve">between two positive RT-PCR results. See Table 2 for two RT-PCR test positives and elapsed time between the two positives. </w:t>
      </w:r>
    </w:p>
    <w:p w:rsidR="00CA3081" w:rsidRPr="00CA3081" w:rsidRDefault="00CA3081" w:rsidP="00CA3081">
      <w:pPr>
        <w:ind w:firstLine="426"/>
        <w:jc w:val="both"/>
        <w:rPr>
          <w:b/>
          <w:bCs/>
          <w:color w:val="000000"/>
          <w:sz w:val="24"/>
          <w:szCs w:val="24"/>
          <w:lang w:val="en-US"/>
        </w:rPr>
      </w:pPr>
    </w:p>
    <w:p w:rsidR="00CA3081" w:rsidRPr="00CA3081" w:rsidRDefault="00CA3081" w:rsidP="00CA3081">
      <w:pPr>
        <w:ind w:firstLine="426"/>
        <w:jc w:val="both"/>
        <w:rPr>
          <w:color w:val="000000"/>
          <w:sz w:val="24"/>
          <w:szCs w:val="24"/>
          <w:lang w:val="en-US"/>
        </w:rPr>
      </w:pPr>
      <w:r w:rsidRPr="00CA3081">
        <w:rPr>
          <w:b/>
          <w:bCs/>
          <w:color w:val="000000"/>
          <w:sz w:val="24"/>
          <w:szCs w:val="24"/>
          <w:lang w:val="en-US"/>
        </w:rPr>
        <w:t>Table 2.</w:t>
      </w:r>
      <w:r w:rsidRPr="00CA3081">
        <w:rPr>
          <w:color w:val="000000"/>
          <w:sz w:val="24"/>
          <w:szCs w:val="24"/>
          <w:lang w:val="en-US"/>
        </w:rPr>
        <w:t xml:space="preserve"> Time Intervals between the Two Positive RT-PCR Tests</w:t>
      </w:r>
    </w:p>
    <w:tbl>
      <w:tblPr>
        <w:tblW w:w="8436" w:type="dxa"/>
        <w:tblInd w:w="182" w:type="dxa"/>
        <w:tblBorders>
          <w:top w:val="single" w:sz="18" w:space="0" w:color="00000A"/>
          <w:bottom w:val="single" w:sz="18" w:space="0" w:color="00000A"/>
          <w:insideH w:val="single" w:sz="18" w:space="0" w:color="00000A"/>
        </w:tblBorders>
        <w:tblLook w:val="0000" w:firstRow="0" w:lastRow="0" w:firstColumn="0" w:lastColumn="0" w:noHBand="0" w:noVBand="0"/>
      </w:tblPr>
      <w:tblGrid>
        <w:gridCol w:w="1496"/>
        <w:gridCol w:w="1416"/>
        <w:gridCol w:w="1183"/>
        <w:gridCol w:w="1351"/>
        <w:gridCol w:w="89"/>
        <w:gridCol w:w="1094"/>
        <w:gridCol w:w="1189"/>
        <w:gridCol w:w="1429"/>
      </w:tblGrid>
      <w:tr w:rsidR="00CA3081" w:rsidRPr="00CA3081" w:rsidTr="00F34AB7">
        <w:tc>
          <w:tcPr>
            <w:tcW w:w="1516" w:type="dxa"/>
            <w:tcBorders>
              <w:top w:val="single" w:sz="18" w:space="0" w:color="00000A"/>
              <w:bottom w:val="single" w:sz="18" w:space="0" w:color="00000A"/>
            </w:tcBorders>
            <w:shd w:val="clear" w:color="auto" w:fill="4472C4"/>
          </w:tcPr>
          <w:p w:rsidR="00CA3081" w:rsidRPr="00CA3081" w:rsidRDefault="00CA3081" w:rsidP="00CA3081">
            <w:pPr>
              <w:ind w:firstLine="426"/>
              <w:jc w:val="both"/>
              <w:rPr>
                <w:b/>
                <w:bCs/>
                <w:color w:val="000000"/>
                <w:sz w:val="24"/>
                <w:szCs w:val="24"/>
                <w:lang w:val="en-US"/>
              </w:rPr>
            </w:pPr>
            <w:r w:rsidRPr="00CA3081">
              <w:rPr>
                <w:b/>
                <w:bCs/>
                <w:color w:val="000000"/>
                <w:sz w:val="24"/>
                <w:szCs w:val="24"/>
                <w:lang w:val="en-US"/>
              </w:rPr>
              <w:t>Number of Days</w:t>
            </w:r>
            <w:r w:rsidRPr="00CA3081">
              <w:rPr>
                <w:b/>
                <w:bCs/>
                <w:color w:val="000000"/>
                <w:sz w:val="24"/>
                <w:szCs w:val="24"/>
                <w:vertAlign w:val="superscript"/>
                <w:lang w:val="en-US"/>
              </w:rPr>
              <w:t>a</w:t>
            </w:r>
          </w:p>
        </w:tc>
        <w:tc>
          <w:tcPr>
            <w:tcW w:w="4270" w:type="dxa"/>
            <w:gridSpan w:val="5"/>
            <w:tcBorders>
              <w:top w:val="single" w:sz="18" w:space="0" w:color="00000A"/>
              <w:bottom w:val="single" w:sz="18" w:space="0" w:color="00000A"/>
            </w:tcBorders>
            <w:shd w:val="clear" w:color="auto" w:fill="4472C4"/>
          </w:tcPr>
          <w:p w:rsidR="00CA3081" w:rsidRPr="00CA3081" w:rsidRDefault="00CA3081" w:rsidP="00CA3081">
            <w:pPr>
              <w:ind w:firstLine="426"/>
              <w:jc w:val="both"/>
              <w:rPr>
                <w:b/>
                <w:bCs/>
                <w:color w:val="000000"/>
                <w:sz w:val="24"/>
                <w:szCs w:val="24"/>
                <w:lang w:val="en-US"/>
              </w:rPr>
            </w:pPr>
            <w:r w:rsidRPr="00CA3081">
              <w:rPr>
                <w:b/>
                <w:bCs/>
                <w:color w:val="000000"/>
                <w:sz w:val="24"/>
                <w:szCs w:val="24"/>
                <w:lang w:val="en-US"/>
              </w:rPr>
              <w:t>Number of Patients</w:t>
            </w:r>
          </w:p>
        </w:tc>
        <w:tc>
          <w:tcPr>
            <w:tcW w:w="1080" w:type="dxa"/>
            <w:tcBorders>
              <w:top w:val="single" w:sz="18" w:space="0" w:color="00000A"/>
              <w:bottom w:val="single" w:sz="18" w:space="0" w:color="00000A"/>
            </w:tcBorders>
            <w:shd w:val="clear" w:color="auto" w:fill="4472C4"/>
          </w:tcPr>
          <w:p w:rsidR="00CA3081" w:rsidRPr="00CA3081" w:rsidRDefault="00CA3081" w:rsidP="00CA3081">
            <w:pPr>
              <w:ind w:firstLine="426"/>
              <w:jc w:val="both"/>
              <w:rPr>
                <w:b/>
                <w:bCs/>
                <w:color w:val="000000"/>
                <w:sz w:val="24"/>
                <w:szCs w:val="24"/>
                <w:lang w:val="en-US"/>
              </w:rPr>
            </w:pPr>
            <w:r w:rsidRPr="00CA3081">
              <w:rPr>
                <w:b/>
                <w:bCs/>
                <w:color w:val="000000"/>
                <w:sz w:val="24"/>
                <w:szCs w:val="24"/>
                <w:lang w:val="en-US"/>
              </w:rPr>
              <w:t>Total Number</w:t>
            </w:r>
          </w:p>
        </w:tc>
        <w:tc>
          <w:tcPr>
            <w:tcW w:w="1569" w:type="dxa"/>
            <w:tcBorders>
              <w:top w:val="single" w:sz="18" w:space="0" w:color="00000A"/>
              <w:bottom w:val="single" w:sz="18" w:space="0" w:color="00000A"/>
            </w:tcBorders>
            <w:shd w:val="clear" w:color="auto" w:fill="4472C4"/>
          </w:tcPr>
          <w:p w:rsidR="00CA3081" w:rsidRPr="00CA3081" w:rsidRDefault="00CA3081" w:rsidP="00CA3081">
            <w:pPr>
              <w:ind w:firstLine="426"/>
              <w:jc w:val="both"/>
              <w:rPr>
                <w:b/>
                <w:bCs/>
                <w:color w:val="000000"/>
                <w:sz w:val="24"/>
                <w:szCs w:val="24"/>
                <w:lang w:val="en-US"/>
              </w:rPr>
            </w:pPr>
            <w:r w:rsidRPr="00CA3081">
              <w:rPr>
                <w:b/>
                <w:bCs/>
                <w:color w:val="000000"/>
                <w:sz w:val="24"/>
                <w:szCs w:val="24"/>
                <w:lang w:val="en-US"/>
              </w:rPr>
              <w:t>Total</w:t>
            </w:r>
          </w:p>
          <w:p w:rsidR="00CA3081" w:rsidRPr="00CA3081" w:rsidRDefault="00CA3081" w:rsidP="00CA3081">
            <w:pPr>
              <w:ind w:firstLine="426"/>
              <w:jc w:val="both"/>
              <w:rPr>
                <w:b/>
                <w:bCs/>
                <w:color w:val="000000"/>
                <w:sz w:val="24"/>
                <w:szCs w:val="24"/>
                <w:lang w:val="en-US"/>
              </w:rPr>
            </w:pPr>
            <w:r w:rsidRPr="00CA3081">
              <w:rPr>
                <w:b/>
                <w:bCs/>
                <w:color w:val="000000"/>
                <w:sz w:val="24"/>
                <w:szCs w:val="24"/>
                <w:lang w:val="en-US"/>
              </w:rPr>
              <w:t>Percent %</w:t>
            </w:r>
          </w:p>
        </w:tc>
      </w:tr>
      <w:tr w:rsidR="00CA3081" w:rsidRPr="00CA3081" w:rsidTr="00F34AB7">
        <w:tc>
          <w:tcPr>
            <w:tcW w:w="1516"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p>
        </w:tc>
        <w:tc>
          <w:tcPr>
            <w:tcW w:w="2238" w:type="dxa"/>
            <w:gridSpan w:val="2"/>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i/>
                <w:color w:val="000000"/>
                <w:sz w:val="24"/>
                <w:szCs w:val="24"/>
                <w:u w:val="single"/>
                <w:lang w:val="en-US"/>
              </w:rPr>
              <w:t>There is a Negative in between</w:t>
            </w:r>
            <w:r w:rsidRPr="00CA3081">
              <w:rPr>
                <w:i/>
                <w:color w:val="000000"/>
                <w:sz w:val="24"/>
                <w:szCs w:val="24"/>
                <w:u w:val="single"/>
                <w:vertAlign w:val="superscript"/>
                <w:lang w:val="en-US"/>
              </w:rPr>
              <w:t>1</w:t>
            </w:r>
          </w:p>
        </w:tc>
        <w:tc>
          <w:tcPr>
            <w:tcW w:w="2032" w:type="dxa"/>
            <w:gridSpan w:val="3"/>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i/>
                <w:color w:val="000000"/>
                <w:sz w:val="24"/>
                <w:szCs w:val="24"/>
                <w:u w:val="single"/>
                <w:lang w:val="en-US"/>
              </w:rPr>
              <w:t>No Negatives between</w:t>
            </w:r>
            <w:r w:rsidRPr="00CA3081">
              <w:rPr>
                <w:i/>
                <w:color w:val="000000"/>
                <w:sz w:val="24"/>
                <w:szCs w:val="24"/>
                <w:u w:val="single"/>
                <w:vertAlign w:val="superscript"/>
                <w:lang w:val="en-US"/>
              </w:rPr>
              <w:t>2</w:t>
            </w:r>
          </w:p>
        </w:tc>
        <w:tc>
          <w:tcPr>
            <w:tcW w:w="1080"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p>
        </w:tc>
        <w:tc>
          <w:tcPr>
            <w:tcW w:w="1569"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p>
        </w:tc>
      </w:tr>
      <w:tr w:rsidR="00CA3081" w:rsidRPr="00CA3081" w:rsidTr="00F34AB7">
        <w:tc>
          <w:tcPr>
            <w:tcW w:w="1516"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p>
        </w:tc>
        <w:tc>
          <w:tcPr>
            <w:tcW w:w="850" w:type="dxa"/>
            <w:tcBorders>
              <w:top w:val="single" w:sz="18" w:space="0" w:color="00000A"/>
              <w:bottom w:val="single" w:sz="18" w:space="0" w:color="00000A"/>
            </w:tcBorders>
            <w:shd w:val="clear" w:color="auto" w:fill="auto"/>
          </w:tcPr>
          <w:p w:rsidR="00CA3081" w:rsidRPr="00CA3081" w:rsidRDefault="00CA3081" w:rsidP="00CA3081">
            <w:pPr>
              <w:ind w:firstLine="426"/>
              <w:jc w:val="both"/>
              <w:rPr>
                <w:i/>
                <w:color w:val="000000"/>
                <w:sz w:val="24"/>
                <w:szCs w:val="24"/>
                <w:lang w:val="en-US"/>
              </w:rPr>
            </w:pPr>
            <w:r w:rsidRPr="00CA3081">
              <w:rPr>
                <w:i/>
                <w:color w:val="000000"/>
                <w:sz w:val="24"/>
                <w:szCs w:val="24"/>
                <w:lang w:val="en-US"/>
              </w:rPr>
              <w:t>Number</w:t>
            </w:r>
          </w:p>
        </w:tc>
        <w:tc>
          <w:tcPr>
            <w:tcW w:w="1388"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3% percent</w:t>
            </w:r>
          </w:p>
        </w:tc>
        <w:tc>
          <w:tcPr>
            <w:tcW w:w="1067" w:type="dxa"/>
            <w:gridSpan w:val="2"/>
            <w:tcBorders>
              <w:top w:val="single" w:sz="18" w:space="0" w:color="00000A"/>
              <w:bottom w:val="single" w:sz="18" w:space="0" w:color="00000A"/>
            </w:tcBorders>
            <w:shd w:val="clear" w:color="auto" w:fill="auto"/>
          </w:tcPr>
          <w:p w:rsidR="00CA3081" w:rsidRPr="00CA3081" w:rsidRDefault="00CA3081" w:rsidP="00CA3081">
            <w:pPr>
              <w:ind w:firstLine="426"/>
              <w:jc w:val="both"/>
              <w:rPr>
                <w:i/>
                <w:color w:val="000000"/>
                <w:sz w:val="24"/>
                <w:szCs w:val="24"/>
                <w:lang w:val="en-US"/>
              </w:rPr>
            </w:pPr>
            <w:r w:rsidRPr="00CA3081">
              <w:rPr>
                <w:i/>
                <w:color w:val="000000"/>
                <w:sz w:val="24"/>
                <w:szCs w:val="24"/>
                <w:lang w:val="en-US"/>
              </w:rPr>
              <w:t>Number</w:t>
            </w:r>
          </w:p>
        </w:tc>
        <w:tc>
          <w:tcPr>
            <w:tcW w:w="965"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3% percent</w:t>
            </w:r>
          </w:p>
        </w:tc>
        <w:tc>
          <w:tcPr>
            <w:tcW w:w="1080"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p>
        </w:tc>
        <w:tc>
          <w:tcPr>
            <w:tcW w:w="1569"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p>
        </w:tc>
      </w:tr>
      <w:tr w:rsidR="00CA3081" w:rsidRPr="00CA3081" w:rsidTr="00F34AB7">
        <w:tc>
          <w:tcPr>
            <w:tcW w:w="1516"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15-30 days</w:t>
            </w:r>
          </w:p>
        </w:tc>
        <w:tc>
          <w:tcPr>
            <w:tcW w:w="850"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26</w:t>
            </w:r>
          </w:p>
        </w:tc>
        <w:tc>
          <w:tcPr>
            <w:tcW w:w="1388"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13.68</w:t>
            </w:r>
          </w:p>
        </w:tc>
        <w:tc>
          <w:tcPr>
            <w:tcW w:w="976"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91</w:t>
            </w:r>
          </w:p>
        </w:tc>
        <w:tc>
          <w:tcPr>
            <w:tcW w:w="1056" w:type="dxa"/>
            <w:gridSpan w:val="2"/>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47.89</w:t>
            </w:r>
          </w:p>
        </w:tc>
        <w:tc>
          <w:tcPr>
            <w:tcW w:w="1080"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117</w:t>
            </w:r>
          </w:p>
        </w:tc>
        <w:tc>
          <w:tcPr>
            <w:tcW w:w="1569"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61.57</w:t>
            </w:r>
          </w:p>
        </w:tc>
      </w:tr>
      <w:tr w:rsidR="00CA3081" w:rsidRPr="00CA3081" w:rsidTr="00F34AB7">
        <w:tc>
          <w:tcPr>
            <w:tcW w:w="1516"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31-60 days</w:t>
            </w:r>
          </w:p>
        </w:tc>
        <w:tc>
          <w:tcPr>
            <w:tcW w:w="850"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8</w:t>
            </w:r>
          </w:p>
        </w:tc>
        <w:tc>
          <w:tcPr>
            <w:tcW w:w="1388"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4.21</w:t>
            </w:r>
          </w:p>
        </w:tc>
        <w:tc>
          <w:tcPr>
            <w:tcW w:w="976"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18</w:t>
            </w:r>
          </w:p>
        </w:tc>
        <w:tc>
          <w:tcPr>
            <w:tcW w:w="1056" w:type="dxa"/>
            <w:gridSpan w:val="2"/>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9.47</w:t>
            </w:r>
          </w:p>
        </w:tc>
        <w:tc>
          <w:tcPr>
            <w:tcW w:w="1080"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26</w:t>
            </w:r>
          </w:p>
        </w:tc>
        <w:tc>
          <w:tcPr>
            <w:tcW w:w="1569"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13.68</w:t>
            </w:r>
          </w:p>
        </w:tc>
      </w:tr>
      <w:tr w:rsidR="00CA3081" w:rsidRPr="00CA3081" w:rsidTr="00F34AB7">
        <w:tc>
          <w:tcPr>
            <w:tcW w:w="1516"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61-90 days</w:t>
            </w:r>
          </w:p>
        </w:tc>
        <w:tc>
          <w:tcPr>
            <w:tcW w:w="850"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7</w:t>
            </w:r>
          </w:p>
        </w:tc>
        <w:tc>
          <w:tcPr>
            <w:tcW w:w="1388"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3.68</w:t>
            </w:r>
          </w:p>
        </w:tc>
        <w:tc>
          <w:tcPr>
            <w:tcW w:w="976"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8</w:t>
            </w:r>
          </w:p>
        </w:tc>
        <w:tc>
          <w:tcPr>
            <w:tcW w:w="1056" w:type="dxa"/>
            <w:gridSpan w:val="2"/>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4.21</w:t>
            </w:r>
          </w:p>
        </w:tc>
        <w:tc>
          <w:tcPr>
            <w:tcW w:w="1080"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15</w:t>
            </w:r>
          </w:p>
        </w:tc>
        <w:tc>
          <w:tcPr>
            <w:tcW w:w="1569"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7.89</w:t>
            </w:r>
          </w:p>
        </w:tc>
      </w:tr>
      <w:tr w:rsidR="00CA3081" w:rsidRPr="00CA3081" w:rsidTr="00F34AB7">
        <w:tc>
          <w:tcPr>
            <w:tcW w:w="1516"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&lt; 91 days</w:t>
            </w:r>
          </w:p>
        </w:tc>
        <w:tc>
          <w:tcPr>
            <w:tcW w:w="850"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18</w:t>
            </w:r>
          </w:p>
        </w:tc>
        <w:tc>
          <w:tcPr>
            <w:tcW w:w="1388"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9.47</w:t>
            </w:r>
          </w:p>
        </w:tc>
        <w:tc>
          <w:tcPr>
            <w:tcW w:w="976"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14</w:t>
            </w:r>
          </w:p>
        </w:tc>
        <w:tc>
          <w:tcPr>
            <w:tcW w:w="1056" w:type="dxa"/>
            <w:gridSpan w:val="2"/>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7.36</w:t>
            </w:r>
          </w:p>
        </w:tc>
        <w:tc>
          <w:tcPr>
            <w:tcW w:w="1080"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32</w:t>
            </w:r>
          </w:p>
        </w:tc>
        <w:tc>
          <w:tcPr>
            <w:tcW w:w="1569" w:type="dxa"/>
            <w:tcBorders>
              <w:top w:val="single" w:sz="18" w:space="0" w:color="00000A"/>
              <w:bottom w:val="single" w:sz="18" w:space="0" w:color="00000A"/>
            </w:tcBorders>
            <w:shd w:val="clear" w:color="auto" w:fill="auto"/>
          </w:tcPr>
          <w:p w:rsidR="00CA3081" w:rsidRPr="00CA3081" w:rsidRDefault="00CA3081" w:rsidP="00CA3081">
            <w:pPr>
              <w:ind w:firstLine="426"/>
              <w:jc w:val="both"/>
              <w:rPr>
                <w:color w:val="000000"/>
                <w:sz w:val="24"/>
                <w:szCs w:val="24"/>
                <w:lang w:val="en-US"/>
              </w:rPr>
            </w:pPr>
            <w:r w:rsidRPr="00CA3081">
              <w:rPr>
                <w:color w:val="000000"/>
                <w:sz w:val="24"/>
                <w:szCs w:val="24"/>
                <w:lang w:val="en-US"/>
              </w:rPr>
              <w:t>16.84</w:t>
            </w:r>
          </w:p>
        </w:tc>
      </w:tr>
      <w:tr w:rsidR="00CA3081" w:rsidRPr="00CA3081" w:rsidTr="00F34AB7">
        <w:tc>
          <w:tcPr>
            <w:tcW w:w="1516" w:type="dxa"/>
            <w:tcBorders>
              <w:top w:val="double" w:sz="6" w:space="0" w:color="00000A"/>
              <w:bottom w:val="single" w:sz="18" w:space="0" w:color="00000A"/>
            </w:tcBorders>
            <w:shd w:val="clear" w:color="auto" w:fill="FFFFFF"/>
          </w:tcPr>
          <w:p w:rsidR="00CA3081" w:rsidRPr="00CA3081" w:rsidRDefault="00CA3081" w:rsidP="00CA3081">
            <w:pPr>
              <w:ind w:firstLine="426"/>
              <w:jc w:val="both"/>
              <w:rPr>
                <w:color w:val="000000"/>
                <w:sz w:val="24"/>
                <w:szCs w:val="24"/>
                <w:lang w:val="en-US"/>
              </w:rPr>
            </w:pPr>
            <w:r w:rsidRPr="00CA3081">
              <w:rPr>
                <w:color w:val="000000"/>
                <w:sz w:val="24"/>
                <w:szCs w:val="24"/>
                <w:lang w:val="en-US"/>
              </w:rPr>
              <w:t>Total</w:t>
            </w:r>
          </w:p>
        </w:tc>
        <w:tc>
          <w:tcPr>
            <w:tcW w:w="850" w:type="dxa"/>
            <w:tcBorders>
              <w:top w:val="double" w:sz="6" w:space="0" w:color="00000A"/>
              <w:bottom w:val="single" w:sz="18" w:space="0" w:color="00000A"/>
            </w:tcBorders>
            <w:shd w:val="clear" w:color="auto" w:fill="FFFFFF"/>
          </w:tcPr>
          <w:p w:rsidR="00CA3081" w:rsidRPr="00CA3081" w:rsidRDefault="00CA3081" w:rsidP="00CA3081">
            <w:pPr>
              <w:ind w:firstLine="426"/>
              <w:jc w:val="both"/>
              <w:rPr>
                <w:color w:val="000000"/>
                <w:sz w:val="24"/>
                <w:szCs w:val="24"/>
                <w:lang w:val="en-US"/>
              </w:rPr>
            </w:pPr>
            <w:r w:rsidRPr="00CA3081">
              <w:rPr>
                <w:color w:val="000000"/>
                <w:sz w:val="24"/>
                <w:szCs w:val="24"/>
                <w:lang w:val="en-US"/>
              </w:rPr>
              <w:t>59</w:t>
            </w:r>
          </w:p>
        </w:tc>
        <w:tc>
          <w:tcPr>
            <w:tcW w:w="1388" w:type="dxa"/>
            <w:tcBorders>
              <w:top w:val="double" w:sz="6" w:space="0" w:color="00000A"/>
              <w:bottom w:val="single" w:sz="18" w:space="0" w:color="00000A"/>
            </w:tcBorders>
            <w:shd w:val="clear" w:color="auto" w:fill="FFFFFF"/>
          </w:tcPr>
          <w:p w:rsidR="00CA3081" w:rsidRPr="00CA3081" w:rsidRDefault="00CA3081" w:rsidP="00CA3081">
            <w:pPr>
              <w:ind w:firstLine="426"/>
              <w:jc w:val="both"/>
              <w:rPr>
                <w:color w:val="000000"/>
                <w:sz w:val="24"/>
                <w:szCs w:val="24"/>
                <w:lang w:val="en-US"/>
              </w:rPr>
            </w:pPr>
            <w:r w:rsidRPr="00CA3081">
              <w:rPr>
                <w:color w:val="000000"/>
                <w:sz w:val="24"/>
                <w:szCs w:val="24"/>
                <w:lang w:val="en-US"/>
              </w:rPr>
              <w:t>31.05</w:t>
            </w:r>
          </w:p>
        </w:tc>
        <w:tc>
          <w:tcPr>
            <w:tcW w:w="976" w:type="dxa"/>
            <w:tcBorders>
              <w:top w:val="double" w:sz="6" w:space="0" w:color="00000A"/>
              <w:bottom w:val="single" w:sz="18" w:space="0" w:color="00000A"/>
            </w:tcBorders>
            <w:shd w:val="clear" w:color="auto" w:fill="FFFFFF"/>
          </w:tcPr>
          <w:p w:rsidR="00CA3081" w:rsidRPr="00CA3081" w:rsidRDefault="00CA3081" w:rsidP="00CA3081">
            <w:pPr>
              <w:ind w:firstLine="426"/>
              <w:jc w:val="both"/>
              <w:rPr>
                <w:color w:val="000000"/>
                <w:sz w:val="24"/>
                <w:szCs w:val="24"/>
                <w:lang w:val="en-US"/>
              </w:rPr>
            </w:pPr>
            <w:r w:rsidRPr="00CA3081">
              <w:rPr>
                <w:color w:val="000000"/>
                <w:sz w:val="24"/>
                <w:szCs w:val="24"/>
                <w:lang w:val="en-US"/>
              </w:rPr>
              <w:t>131</w:t>
            </w:r>
          </w:p>
        </w:tc>
        <w:tc>
          <w:tcPr>
            <w:tcW w:w="1056" w:type="dxa"/>
            <w:gridSpan w:val="2"/>
            <w:tcBorders>
              <w:top w:val="double" w:sz="6" w:space="0" w:color="00000A"/>
              <w:bottom w:val="single" w:sz="18" w:space="0" w:color="00000A"/>
            </w:tcBorders>
            <w:shd w:val="clear" w:color="auto" w:fill="FFFFFF"/>
          </w:tcPr>
          <w:p w:rsidR="00CA3081" w:rsidRPr="00CA3081" w:rsidRDefault="00CA3081" w:rsidP="00CA3081">
            <w:pPr>
              <w:ind w:firstLine="426"/>
              <w:jc w:val="both"/>
              <w:rPr>
                <w:color w:val="000000"/>
                <w:sz w:val="24"/>
                <w:szCs w:val="24"/>
                <w:lang w:val="en-US"/>
              </w:rPr>
            </w:pPr>
            <w:r w:rsidRPr="00CA3081">
              <w:rPr>
                <w:color w:val="000000"/>
                <w:sz w:val="24"/>
                <w:szCs w:val="24"/>
                <w:lang w:val="en-US"/>
              </w:rPr>
              <w:t>68.94</w:t>
            </w:r>
          </w:p>
        </w:tc>
        <w:tc>
          <w:tcPr>
            <w:tcW w:w="1080" w:type="dxa"/>
            <w:tcBorders>
              <w:top w:val="double" w:sz="6" w:space="0" w:color="00000A"/>
              <w:bottom w:val="single" w:sz="18" w:space="0" w:color="00000A"/>
            </w:tcBorders>
            <w:shd w:val="clear" w:color="auto" w:fill="FFFFFF"/>
          </w:tcPr>
          <w:p w:rsidR="00CA3081" w:rsidRPr="00CA3081" w:rsidRDefault="00CA3081" w:rsidP="00CA3081">
            <w:pPr>
              <w:ind w:firstLine="426"/>
              <w:jc w:val="both"/>
              <w:rPr>
                <w:color w:val="000000"/>
                <w:sz w:val="24"/>
                <w:szCs w:val="24"/>
                <w:lang w:val="en-US"/>
              </w:rPr>
            </w:pPr>
            <w:r w:rsidRPr="00CA3081">
              <w:rPr>
                <w:color w:val="000000"/>
                <w:sz w:val="24"/>
                <w:szCs w:val="24"/>
                <w:lang w:val="en-US"/>
              </w:rPr>
              <w:t>190</w:t>
            </w:r>
          </w:p>
        </w:tc>
        <w:tc>
          <w:tcPr>
            <w:tcW w:w="1569" w:type="dxa"/>
            <w:tcBorders>
              <w:top w:val="double" w:sz="6" w:space="0" w:color="00000A"/>
              <w:bottom w:val="single" w:sz="18" w:space="0" w:color="00000A"/>
            </w:tcBorders>
            <w:shd w:val="clear" w:color="auto" w:fill="FFFFFF"/>
          </w:tcPr>
          <w:p w:rsidR="00CA3081" w:rsidRPr="00CA3081" w:rsidRDefault="00CA3081" w:rsidP="00CA3081">
            <w:pPr>
              <w:ind w:firstLine="426"/>
              <w:jc w:val="both"/>
              <w:rPr>
                <w:color w:val="000000"/>
                <w:sz w:val="24"/>
                <w:szCs w:val="24"/>
                <w:lang w:val="en-US"/>
              </w:rPr>
            </w:pPr>
            <w:r w:rsidRPr="00CA3081">
              <w:rPr>
                <w:color w:val="000000"/>
                <w:sz w:val="24"/>
                <w:szCs w:val="24"/>
                <w:lang w:val="en-US"/>
              </w:rPr>
              <w:t>100</w:t>
            </w:r>
          </w:p>
        </w:tc>
      </w:tr>
    </w:tbl>
    <w:p w:rsidR="00CA3081" w:rsidRPr="005C635D" w:rsidRDefault="00CA3081" w:rsidP="00CA3081">
      <w:pPr>
        <w:ind w:firstLine="426"/>
        <w:jc w:val="both"/>
        <w:rPr>
          <w:iCs/>
          <w:color w:val="000000"/>
          <w:sz w:val="24"/>
          <w:szCs w:val="24"/>
          <w:lang w:val="en-US"/>
        </w:rPr>
      </w:pPr>
      <w:r w:rsidRPr="005C635D">
        <w:rPr>
          <w:iCs/>
          <w:color w:val="000000"/>
          <w:sz w:val="24"/>
          <w:szCs w:val="24"/>
          <w:lang w:val="en-US"/>
        </w:rPr>
        <w:t>A Number of days between two positive RT-PCR test results</w:t>
      </w:r>
    </w:p>
    <w:p w:rsidR="00CA3081" w:rsidRPr="00CA3081" w:rsidRDefault="00CA3081" w:rsidP="00CA3081">
      <w:pPr>
        <w:ind w:firstLine="426"/>
        <w:jc w:val="both"/>
        <w:rPr>
          <w:color w:val="000000"/>
          <w:sz w:val="24"/>
          <w:szCs w:val="24"/>
          <w:lang w:val="en-US"/>
        </w:rPr>
      </w:pPr>
      <w:r w:rsidRPr="005C635D">
        <w:rPr>
          <w:iCs/>
          <w:color w:val="000000"/>
          <w:sz w:val="24"/>
          <w:szCs w:val="24"/>
          <w:lang w:val="en-US"/>
        </w:rPr>
        <w:t>1.</w:t>
      </w:r>
      <w:r w:rsidRPr="005C635D">
        <w:rPr>
          <w:color w:val="000000"/>
          <w:sz w:val="24"/>
          <w:szCs w:val="24"/>
          <w:lang w:val="en-US"/>
        </w:rPr>
        <w:t xml:space="preserve"> There</w:t>
      </w:r>
      <w:r w:rsidRPr="00CA3081">
        <w:rPr>
          <w:color w:val="000000"/>
          <w:sz w:val="24"/>
          <w:szCs w:val="24"/>
          <w:lang w:val="en-US"/>
        </w:rPr>
        <w:t xml:space="preserve"> were at least 15 days between two positive RT-PCR tests, and there were negative RT-PCR test result(s) in between them.</w:t>
      </w:r>
    </w:p>
    <w:p w:rsidR="00CA3081" w:rsidRPr="00CA3081" w:rsidRDefault="00CA3081" w:rsidP="00CA3081">
      <w:pPr>
        <w:ind w:firstLine="426"/>
        <w:jc w:val="both"/>
        <w:rPr>
          <w:color w:val="000000"/>
          <w:sz w:val="24"/>
          <w:szCs w:val="24"/>
          <w:lang w:val="en-US"/>
        </w:rPr>
      </w:pPr>
      <w:r w:rsidRPr="00CA3081">
        <w:rPr>
          <w:color w:val="000000"/>
          <w:sz w:val="24"/>
          <w:szCs w:val="24"/>
          <w:lang w:val="en-US"/>
        </w:rPr>
        <w:t>2. No negative RT-PCR test results between the two positive RT-PCR tests.</w:t>
      </w:r>
    </w:p>
    <w:p w:rsidR="00CA3081" w:rsidRPr="00CA3081" w:rsidRDefault="00CA3081" w:rsidP="00CA3081">
      <w:pPr>
        <w:ind w:firstLine="426"/>
        <w:jc w:val="both"/>
        <w:rPr>
          <w:color w:val="000000"/>
          <w:sz w:val="24"/>
          <w:szCs w:val="24"/>
          <w:lang w:val="en-US"/>
        </w:rPr>
      </w:pPr>
      <w:r w:rsidRPr="00CA3081">
        <w:rPr>
          <w:color w:val="000000"/>
          <w:sz w:val="24"/>
          <w:szCs w:val="24"/>
          <w:lang w:val="en-US"/>
        </w:rPr>
        <w:t>3. It is the percentage value in the total number of patients.</w:t>
      </w:r>
    </w:p>
    <w:p w:rsidR="00CA3081" w:rsidRPr="00CA3081" w:rsidRDefault="00CA3081" w:rsidP="00CA3081">
      <w:pPr>
        <w:ind w:firstLine="426"/>
        <w:jc w:val="both"/>
        <w:rPr>
          <w:iCs/>
          <w:color w:val="000000"/>
          <w:sz w:val="24"/>
          <w:szCs w:val="24"/>
          <w:lang w:val="en-US"/>
        </w:rPr>
      </w:pPr>
    </w:p>
    <w:p w:rsidR="00CA3081" w:rsidRPr="00CA3081" w:rsidRDefault="00CA3081" w:rsidP="00CA3081">
      <w:pPr>
        <w:ind w:firstLine="426"/>
        <w:jc w:val="both"/>
        <w:rPr>
          <w:color w:val="000000"/>
          <w:sz w:val="24"/>
          <w:szCs w:val="24"/>
          <w:lang w:val="en-US"/>
        </w:rPr>
      </w:pPr>
      <w:r w:rsidRPr="00CA3081">
        <w:rPr>
          <w:iCs/>
          <w:color w:val="000000"/>
          <w:sz w:val="24"/>
          <w:szCs w:val="24"/>
          <w:lang w:val="en-US"/>
        </w:rPr>
        <w:t>A negative, weak correlation was found between the age of the patients and the time interval between the first and second positive RT-PCR (r=-0.194). Accordingly, as the age of patients increases, the time between two positive RT-PCR results decreases.</w:t>
      </w:r>
      <w:r w:rsidRPr="00CA3081">
        <w:rPr>
          <w:color w:val="000000"/>
          <w:sz w:val="24"/>
          <w:szCs w:val="24"/>
          <w:lang w:val="en-US"/>
        </w:rPr>
        <w:t xml:space="preserve"> </w:t>
      </w:r>
    </w:p>
    <w:p w:rsidR="00CA3081" w:rsidRPr="00CA3081" w:rsidRDefault="00CA3081" w:rsidP="00CA3081">
      <w:pPr>
        <w:ind w:firstLine="426"/>
        <w:jc w:val="both"/>
        <w:rPr>
          <w:iCs/>
          <w:color w:val="000000"/>
          <w:sz w:val="24"/>
          <w:szCs w:val="24"/>
          <w:lang w:val="en-US"/>
        </w:rPr>
      </w:pPr>
      <w:r w:rsidRPr="00CA3081">
        <w:rPr>
          <w:iCs/>
          <w:color w:val="000000"/>
          <w:sz w:val="24"/>
          <w:szCs w:val="24"/>
          <w:lang w:val="en-US"/>
        </w:rPr>
        <w:t xml:space="preserve">Looking at the mortality rates of the patients, 7 out of 190 patients (3.68%) deceased. Of the deceased patients, 6 were male (3.15% in total) and 1 (0.53% in total) was female. However, no statistically significant difference was found between the mortality status and the gender of the patients (p=0.119). The average age of these patients was 71.43 years (±6.99) and the median value was 73 years. Of the patients, 5 died in </w:t>
      </w:r>
      <w:r w:rsidRPr="00CA3081">
        <w:rPr>
          <w:iCs/>
          <w:color w:val="000000"/>
          <w:sz w:val="24"/>
          <w:szCs w:val="24"/>
          <w:lang w:val="en-US"/>
        </w:rPr>
        <w:lastRenderedPageBreak/>
        <w:t>intensive care, 1 died in inpatient service, and 1 in outpatient treatment.</w:t>
      </w:r>
    </w:p>
    <w:p w:rsidR="00CA3081" w:rsidRPr="00CA3081" w:rsidRDefault="00CA3081" w:rsidP="00CA3081">
      <w:pPr>
        <w:ind w:firstLine="426"/>
        <w:jc w:val="both"/>
        <w:rPr>
          <w:iCs/>
          <w:color w:val="000000"/>
          <w:sz w:val="24"/>
          <w:szCs w:val="24"/>
          <w:lang w:val="en-US"/>
        </w:rPr>
      </w:pPr>
    </w:p>
    <w:p w:rsidR="00CA3081" w:rsidRPr="00CA3081" w:rsidRDefault="00CA3081" w:rsidP="00CA3081">
      <w:pPr>
        <w:ind w:firstLine="426"/>
        <w:jc w:val="both"/>
        <w:rPr>
          <w:iCs/>
          <w:color w:val="000000"/>
          <w:sz w:val="24"/>
          <w:szCs w:val="24"/>
          <w:lang w:val="en-US"/>
        </w:rPr>
      </w:pPr>
      <w:r w:rsidRPr="00CA3081">
        <w:rPr>
          <w:iCs/>
          <w:color w:val="000000"/>
          <w:sz w:val="24"/>
          <w:szCs w:val="24"/>
          <w:lang w:val="en-US"/>
        </w:rPr>
        <w:t>The issue that will need to be discussed most in this study is the time interval between positive RT-PCR results. Indeed, samples collected from 117 (61.57%) of 190 patients tested positive for RT-PCR within the first 30 days. In this group of 117 patients, although 26 patients tested negative for RT-PCR after the first positive RT-PCR result, they tested positive in the subsequent PCR tests. In the remaining 91 people of this group of 117 patients, RT-PCR positivity was observed again in their subsequent admissions, regardless of whether there was a negative after the first positive RT-PCR result during their outpatient or inpatient treatment. In this case, how will we interpret this fact? Is there a false negative associated with the difficulty of taking RT-PCR swab, or should we consider that patients who have tested negative are infected again within a month?</w:t>
      </w:r>
    </w:p>
    <w:p w:rsidR="00CA3081" w:rsidRPr="00CA3081" w:rsidRDefault="00CA3081" w:rsidP="00CA3081">
      <w:pPr>
        <w:ind w:firstLine="426"/>
        <w:jc w:val="both"/>
        <w:rPr>
          <w:iCs/>
          <w:color w:val="000000"/>
          <w:sz w:val="24"/>
          <w:szCs w:val="24"/>
          <w:lang w:val="en-US"/>
        </w:rPr>
      </w:pPr>
    </w:p>
    <w:p w:rsidR="00CA3081" w:rsidRPr="00CA3081" w:rsidRDefault="00CA3081" w:rsidP="00CA3081">
      <w:pPr>
        <w:ind w:firstLine="426"/>
        <w:jc w:val="both"/>
        <w:rPr>
          <w:iCs/>
          <w:color w:val="000000"/>
          <w:sz w:val="24"/>
          <w:szCs w:val="24"/>
          <w:lang w:val="en-US"/>
        </w:rPr>
      </w:pPr>
      <w:r w:rsidRPr="00CA3081">
        <w:rPr>
          <w:iCs/>
          <w:color w:val="000000"/>
          <w:sz w:val="24"/>
          <w:szCs w:val="24"/>
          <w:lang w:val="en-US"/>
        </w:rPr>
        <w:t xml:space="preserve">In their systemic review of 2568 patients, Mahalul Azam et al. found a recurrent positive incidence of 14.8% and reported that the time from the onset of the disease to the date of re-positivity was an average of 35.4 days, and the time between the last negative result and the re-positive result was 9.8 days </w:t>
      </w:r>
      <w:r w:rsidRPr="00CA3081">
        <w:rPr>
          <w:iCs/>
          <w:color w:val="000000"/>
          <w:sz w:val="24"/>
          <w:szCs w:val="24"/>
          <w:lang w:val="en-US"/>
        </w:rPr>
        <w:fldChar w:fldCharType="begin"/>
      </w:r>
      <w:r w:rsidR="005C635D">
        <w:rPr>
          <w:iCs/>
          <w:color w:val="000000"/>
          <w:sz w:val="24"/>
          <w:szCs w:val="24"/>
          <w:lang w:val="en-US"/>
        </w:rPr>
        <w:instrText xml:space="preserve"> ADDIN ZOTERO_ITEM CSL_CITATION {"citationID":"uDemWkBu","properties":{"formattedCitation":"(7)","plainCitation":"(7)","noteIndex":0},"citationItems":[{"id":378,"uris":["http://zotero.org/users/6447875/items/EMNESLGP"],"uri":["http://zotero.org/users/6447875/items/EMNESLGP"],"itemData":{"id":378,"type":"article-journal","abstract":"Present study aimed to estimate the incidence of recurrent SARS-CoV-2 RNA positivity after recovery from COVID-19 and to determine the factors associated with recurrent positivity. We searched the PubMed, MedRxiv, BioRxiv, the Cochrane Library, ClinicalTrials.gov, and the World Health Organization International Clinical Trials Registry for studies published to June 12, 2020. Studies were reviewed to determine the risk of bias. A random-effects model was used to pool results. Heterogeneity was assessed using I2. Fourteen studies of 2568 individuals were included. The incidence of recurrent SARS-CoV-2 positivity was 14.8% (95% confidence interval [CI] 11.44–18.19%). The pooled estimate of the interval from disease onset to recurrence was 35.4 days (95% CI 32.65–38.24 days), and from the last negative to the recurrent positive result was 9.8 days (95% CI 7.31–12.22 days). Patients with younger age and a longer initial illness were more likely to experience recurrent SARS-CoV-2 positivity, while patients with diabetes, severe disease, and a low lymphocyte count were less likely to experience. Present study concluded that the incidence of recurrent SARS-CoV-2 positivity was 14.8% suggesting further studies must be conducted to elucidate the possibility of infectious individuals with prolonged or recurrent RNA positivity.","container-title":"Scientific Reports","DOI":"10.1038/s41598-020-77739-y","ISSN":"2045-2322","issue":"1","language":"en","note":"number: 1\npublisher: Nature Publishing Group","page":"20692","source":"www.nature.com","title":"Recurrent SARS-CoV-2 RNA positivity after COVID-19: a systematic review and meta-analysis","title-short":"Recurrent SARS-CoV-2 RNA positivity after COVID-19","volume":"10","author":[{"family":"Azam","given":"Mahalul"},{"family":"Sulistiana","given":"Rina"},{"family":"Ratnawati","given":"Martha"},{"family":"Fibriana","given":"Arulita Ika"},{"family":"Bahrudin","given":"Udin"},{"family":"Widyaningrum","given":"Dian"},{"family":"Aljunid","given":"Syed Mohamed"}],"issued":{"date-parts":[["2020",11,26]]}}}],"schema":"https://github.com/citation-style-language/schema/raw/master/csl-citation.json"} </w:instrText>
      </w:r>
      <w:r w:rsidRPr="00CA3081">
        <w:rPr>
          <w:iCs/>
          <w:color w:val="000000"/>
          <w:sz w:val="24"/>
          <w:szCs w:val="24"/>
          <w:lang w:val="en-US"/>
        </w:rPr>
        <w:fldChar w:fldCharType="separate"/>
      </w:r>
      <w:r w:rsidR="005C635D" w:rsidRPr="005C635D">
        <w:rPr>
          <w:sz w:val="24"/>
          <w:lang w:val="en-US"/>
        </w:rPr>
        <w:t>(7)</w:t>
      </w:r>
      <w:r w:rsidRPr="00CA3081">
        <w:rPr>
          <w:color w:val="000000"/>
          <w:sz w:val="24"/>
          <w:szCs w:val="24"/>
        </w:rPr>
        <w:fldChar w:fldCharType="end"/>
      </w:r>
      <w:r w:rsidRPr="00CA3081">
        <w:rPr>
          <w:iCs/>
          <w:color w:val="000000"/>
          <w:sz w:val="24"/>
          <w:szCs w:val="24"/>
          <w:lang w:val="en-US"/>
        </w:rPr>
        <w:t xml:space="preserve">. Bo Yuan et al. also found that 20 (10.99%) out of 182 COVID-19 patients under medical isolation had recurrent positivity, of which 13 tested positive on the 7th day, and 7 of them on the 14th day </w:t>
      </w:r>
      <w:r w:rsidRPr="00CA3081">
        <w:rPr>
          <w:iCs/>
          <w:color w:val="000000"/>
          <w:sz w:val="24"/>
          <w:szCs w:val="24"/>
          <w:lang w:val="en-US"/>
        </w:rPr>
        <w:fldChar w:fldCharType="begin"/>
      </w:r>
      <w:r w:rsidR="005C635D">
        <w:rPr>
          <w:iCs/>
          <w:color w:val="000000"/>
          <w:sz w:val="24"/>
          <w:szCs w:val="24"/>
          <w:lang w:val="en-US"/>
        </w:rPr>
        <w:instrText xml:space="preserve"> ADDIN ZOTERO_ITEM CSL_CITATION {"citationID":"tJ5pQ5NY","properties":{"formattedCitation":"(8)","plainCitation":"(8)","noteIndex":0},"citationItems":[{"id":377,"uris":["http://zotero.org/users/6447875/items/44XE4HLT"],"uri":["http://zotero.org/users/6447875/items/44XE4HLT"],"itemData":{"id":377,"type":"article-journal","abstract":"Recently, the recurrence of positive SARS-CoV-2 viral RNA in recovered COVID-19 patients is receiving more attention. Herein we report a cohort study on the follow-up of 182 recovered patients under medical isolation observation. Twenty (10.99%) patients out of the 182 were detected to be SARS-CoV-2 RNA positive (re-positives), although none showed any clinical symptomatic recurrence, indicating that COVID-19 responds well to treatment. Patients aged under 18 years had higher re-positive rates than average, and none of the severely ill patients re-tested positive. There were no significant differences in sex between re-positives and non-re-positives. Notably, most of the re-positives turned negative in the following tests, and all of them carried antibodies against SARS-CoV-2. This indicates that they might not be infectious, although it is still important to perform regular SARS-CoV-2 RNA testing and follow-up for assessment of infectivity. The findings of this study provide information for improving the management of recovered patients, and for differentiating the follow-up of recovered patients with different risk levels.","container-title":"Scientific Reports","DOI":"10.1038/s41598-020-68782-w","ISSN":"2045-2322","issue":"1","language":"en","note":"number: 1\npublisher: Nature Publishing Group","page":"11887","source":"www.nature.com","title":"Recurrence of positive SARS-CoV-2 viral RNA in recovered COVID-19 patients during medical isolation observation","volume":"10","author":[{"family":"Yuan","given":"Bo"},{"family":"Liu","given":"Han-Qing"},{"family":"Yang","given":"Zheng-Rong"},{"family":"Chen","given":"Yong-Xin"},{"family":"Liu","given":"Zhi-Yong"},{"family":"Zhang","given":"Kai"},{"family":"Wang","given":"Cheng"},{"family":"Li","given":"Wei-Xin"},{"family":"An","given":"Ya-Wen"},{"family":"Wang","given":"Jian-Chun"},{"family":"Song","given":"Shuo"}],"issued":{"date-parts":[["2020",7,17]]}}}],"schema":"https://github.com/citation-style-language/schema/raw/master/csl-citation.json"} </w:instrText>
      </w:r>
      <w:r w:rsidRPr="00CA3081">
        <w:rPr>
          <w:iCs/>
          <w:color w:val="000000"/>
          <w:sz w:val="24"/>
          <w:szCs w:val="24"/>
          <w:lang w:val="en-US"/>
        </w:rPr>
        <w:fldChar w:fldCharType="separate"/>
      </w:r>
      <w:r w:rsidR="005C635D" w:rsidRPr="005C635D">
        <w:rPr>
          <w:sz w:val="24"/>
          <w:lang w:val="en-US"/>
        </w:rPr>
        <w:t>(8)</w:t>
      </w:r>
      <w:r w:rsidRPr="00CA3081">
        <w:rPr>
          <w:color w:val="000000"/>
          <w:sz w:val="24"/>
          <w:szCs w:val="24"/>
        </w:rPr>
        <w:fldChar w:fldCharType="end"/>
      </w:r>
      <w:r w:rsidRPr="00CA3081">
        <w:rPr>
          <w:iCs/>
          <w:color w:val="000000"/>
          <w:sz w:val="24"/>
          <w:szCs w:val="24"/>
          <w:lang w:val="en-US"/>
        </w:rPr>
        <w:t xml:space="preserve">. Tie-Jun Shui et al. examined 758 COVID-19 patients who had at least two negative test result before being discharged from the hospital, and concluded that 59 patients (7.78%) tested positive again 33 days after their first admission on the average </w:t>
      </w:r>
      <w:r w:rsidRPr="00CA3081">
        <w:rPr>
          <w:iCs/>
          <w:color w:val="000000"/>
          <w:sz w:val="24"/>
          <w:szCs w:val="24"/>
          <w:lang w:val="en-US"/>
        </w:rPr>
        <w:fldChar w:fldCharType="begin"/>
      </w:r>
      <w:r w:rsidR="005C635D">
        <w:rPr>
          <w:iCs/>
          <w:color w:val="000000"/>
          <w:sz w:val="24"/>
          <w:szCs w:val="24"/>
          <w:lang w:val="en-US"/>
        </w:rPr>
        <w:instrText xml:space="preserve"> ADDIN ZOTERO_ITEM CSL_CITATION {"citationID":"mVIpeBeW","properties":{"formattedCitation":"(9)","plainCitation":"(9)","noteIndex":0},"citationItems":[{"id":375,"uris":["http://zotero.org/users/6447875/items/AUR9QULN"],"uri":["http://zotero.org/users/6447875/items/AUR9QULN"],"itemData":{"id":375,"type":"article-journal","abstract":"Two months after the outbreak of coronavirus disease 2019 (COVID-19) in Wuhan, China, tens of thousands of hospitalized patients had recovered, and little is known about the follow-up of the recovered patients.","container-title":"BMC Infectious Diseases","DOI":"10.1186/s12879-020-05463-z","ISSN":"1471-2334","issue":"1","journalAbbreviation":"BMC Infectious Diseases","page":"749","source":"BioMed Central","title":"Characteristics of recovered COVID-19 patients with recurrent positive RT-PCR findings in Wuhan, China: a retrospective study","title-short":"Characteristics of recovered COVID-19 patients with recurrent positive RT-PCR findings in Wuhan, China","volume":"20","author":[{"family":"Shui","given":"Tie-Jun"},{"family":"Li","given":"Chao"},{"family":"Liu","given":"Hong-bing"},{"family":"Chen","given":"Xiaohua"},{"family":"Zhang","given":"Bi-ke"}],"issued":{"date-parts":[["2020",10,13]]}}}],"schema":"https://github.com/citation-style-language/schema/raw/master/csl-citation.json"} </w:instrText>
      </w:r>
      <w:r w:rsidRPr="00CA3081">
        <w:rPr>
          <w:iCs/>
          <w:color w:val="000000"/>
          <w:sz w:val="24"/>
          <w:szCs w:val="24"/>
          <w:lang w:val="en-US"/>
        </w:rPr>
        <w:fldChar w:fldCharType="separate"/>
      </w:r>
      <w:r w:rsidR="005C635D" w:rsidRPr="005C635D">
        <w:rPr>
          <w:sz w:val="24"/>
          <w:lang w:val="en-US"/>
        </w:rPr>
        <w:t>(9)</w:t>
      </w:r>
      <w:r w:rsidRPr="00CA3081">
        <w:rPr>
          <w:color w:val="000000"/>
          <w:sz w:val="24"/>
          <w:szCs w:val="24"/>
        </w:rPr>
        <w:fldChar w:fldCharType="end"/>
      </w:r>
      <w:r w:rsidRPr="00CA3081">
        <w:rPr>
          <w:iCs/>
          <w:color w:val="000000"/>
          <w:sz w:val="24"/>
          <w:szCs w:val="24"/>
          <w:lang w:val="en-US"/>
        </w:rPr>
        <w:t xml:space="preserve">. In a meta-analysis conducted by Tung Hoang, about 15% of 3644 discharged COVID-19 patients were tested positive again at a later time </w:t>
      </w:r>
      <w:r w:rsidRPr="00CA3081">
        <w:rPr>
          <w:iCs/>
          <w:color w:val="000000"/>
          <w:sz w:val="24"/>
          <w:szCs w:val="24"/>
          <w:lang w:val="en-US"/>
        </w:rPr>
        <w:fldChar w:fldCharType="begin"/>
      </w:r>
      <w:r w:rsidR="005C635D">
        <w:rPr>
          <w:iCs/>
          <w:color w:val="000000"/>
          <w:sz w:val="24"/>
          <w:szCs w:val="24"/>
          <w:lang w:val="en-US"/>
        </w:rPr>
        <w:instrText xml:space="preserve"> ADDIN ZOTERO_ITEM CSL_CITATION {"citationID":"4NpzaHyP","properties":{"formattedCitation":"(10)","plainCitation":"(10)","noteIndex":0},"citationItems":[{"id":374,"uris":["http://zotero.org/users/6447875/items/PE37R7GV"],"uri":["http://zotero.org/users/6447875/items/PE37R7GV"],"itemData":{"id":374,"type":"report","abstract":"Abstract\n          \n            Background\n            Previous studies reported the recurrence of coronavirus disease 2019 (COVID-19) among discharge patients. This study aimed to examine the characteristic of COVID-19 recurrence cases by performing a systematic review and meta-analysis.\n          \n          \n            Methods\n            A systematic search was performed in PubMed and Embase and gray literature up to September 17, 2020. A random-effects model was applied to obtain the pooled prevalence of disease recurrence among recovered patients and the prevalence of subjects underlying comorbidity among recurrence cases. The other characteristics were calculated based on the summary data of individual studies.\n          \n          \n            Results\n            A total of 41 studies were included in the final analysis, we have described the epidemiological characteristics of COVID-19 recurrence cases. Of 3,644 patients recovering from COVID-19 and being discharged, an estimate of 15% (95% CI, 12% to 19%) patients was re-positive with SARS-CoV-2 during the follow-up. This proportion was 14% (95% CI, 11% to 17%) for China and 31% (95% CI, 26% to 37%) for Korea. Among recurrence cases, it was estimated 39% (95% CI, 31% to 48%) subjects underlying at least one comorbidity. The estimates for times from disease onset to admission, from admission to discharge, and from discharge to RNA positive conversion were 4.8, 16.4, and 10.4 days, respectively.\n          \n          \n            Conclusion\n            This study summarized up-to-date evidence from case reports, case series, and observational studies for the characteristic of COVID-19 recurrence cases after discharge. It is recommended to pay attention to follow-up patients after discharge, even if they have been in quarantine.","genre":"preprint","language":"en","note":"DOI: 10.1101/2020.09.05.20189134","publisher":"Infectious Diseases (except HIV/AIDS)","source":"DOI.org (Crossref)","title":"Characteristics of COVID-19 recurrence: a systematic review and meta-analysis","title-short":"Characteristics of COVID-19 recurrence","URL":"http://medrxiv.org/lookup/doi/10.1101/2020.09.05.20189134","author":[{"family":"Hoang","given":"Tung"}],"accessed":{"date-parts":[["2021",1,7]]},"issued":{"date-parts":[["2020",9,8]]}}}],"schema":"https://github.com/citation-style-language/schema/raw/master/csl-citation.json"} </w:instrText>
      </w:r>
      <w:r w:rsidRPr="00CA3081">
        <w:rPr>
          <w:iCs/>
          <w:color w:val="000000"/>
          <w:sz w:val="24"/>
          <w:szCs w:val="24"/>
          <w:lang w:val="en-US"/>
        </w:rPr>
        <w:fldChar w:fldCharType="separate"/>
      </w:r>
      <w:r w:rsidR="005C635D" w:rsidRPr="005C635D">
        <w:rPr>
          <w:sz w:val="24"/>
          <w:lang w:val="en-US"/>
        </w:rPr>
        <w:t>(10)</w:t>
      </w:r>
      <w:r w:rsidRPr="00CA3081">
        <w:rPr>
          <w:color w:val="000000"/>
          <w:sz w:val="24"/>
          <w:szCs w:val="24"/>
        </w:rPr>
        <w:fldChar w:fldCharType="end"/>
      </w:r>
      <w:r w:rsidRPr="00CA3081">
        <w:rPr>
          <w:iCs/>
          <w:color w:val="000000"/>
          <w:sz w:val="24"/>
          <w:szCs w:val="24"/>
          <w:lang w:val="en-US"/>
        </w:rPr>
        <w:t xml:space="preserve">. It has been noted by Steven Woloshin et al. that swab samples taken for COVID-19 can give false negative results at different rates </w:t>
      </w:r>
      <w:r w:rsidRPr="00CA3081">
        <w:rPr>
          <w:iCs/>
          <w:color w:val="000000"/>
          <w:sz w:val="24"/>
          <w:szCs w:val="24"/>
          <w:lang w:val="en-US"/>
        </w:rPr>
        <w:fldChar w:fldCharType="begin"/>
      </w:r>
      <w:r w:rsidR="005C635D">
        <w:rPr>
          <w:iCs/>
          <w:color w:val="000000"/>
          <w:sz w:val="24"/>
          <w:szCs w:val="24"/>
          <w:lang w:val="en-US"/>
        </w:rPr>
        <w:instrText xml:space="preserve"> ADDIN ZOTERO_ITEM CSL_CITATION {"citationID":"QWFbMxw7","properties":{"formattedCitation":"(11)","plainCitation":"(11)","noteIndex":0},"citationItems":[{"id":388,"uris":["http://zotero.org/users/6447875/items/5U5I2A6T"],"uri":["http://zotero.org/users/6447875/items/5U5I2A6T"],"itemData":{"id":388,"type":"article-journal","container-title":"The New England Journal of Medicine","DOI":"10.1056/NEJMp2015897","ISSN":"1533-4406","issue":"6","journalAbbreviation":"N Engl J Med","language":"eng","note":"PMID: 32502334","page":"e38","source":"PubMed","title":"False Negative Tests for SARS-CoV-2 Infection - Challenges and Implications","volume":"383","author":[{"family":"Woloshin","given":"Steven"},{"family":"Patel","given":"Neeraj"},{"family":"Kesselheim","given":"Aaron S."}],"issued":{"date-parts":[["2020",8,6]]}}}],"schema":"https://github.com/citation-style-language/schema/raw/master/csl-citation.json"} </w:instrText>
      </w:r>
      <w:r w:rsidRPr="00CA3081">
        <w:rPr>
          <w:iCs/>
          <w:color w:val="000000"/>
          <w:sz w:val="24"/>
          <w:szCs w:val="24"/>
          <w:lang w:val="en-US"/>
        </w:rPr>
        <w:fldChar w:fldCharType="separate"/>
      </w:r>
      <w:r w:rsidR="005C635D" w:rsidRPr="005C635D">
        <w:rPr>
          <w:sz w:val="24"/>
          <w:lang w:val="en-US"/>
        </w:rPr>
        <w:t>(11)</w:t>
      </w:r>
      <w:r w:rsidRPr="00CA3081">
        <w:rPr>
          <w:color w:val="000000"/>
          <w:sz w:val="24"/>
          <w:szCs w:val="24"/>
        </w:rPr>
        <w:fldChar w:fldCharType="end"/>
      </w:r>
      <w:r w:rsidRPr="00CA3081">
        <w:rPr>
          <w:iCs/>
          <w:color w:val="000000"/>
          <w:sz w:val="24"/>
          <w:szCs w:val="24"/>
          <w:lang w:val="en-US"/>
        </w:rPr>
        <w:t xml:space="preserve">. In addition, it has been reported that although there were negative </w:t>
      </w:r>
      <w:r w:rsidRPr="00CA3081">
        <w:rPr>
          <w:iCs/>
          <w:color w:val="000000"/>
          <w:sz w:val="24"/>
          <w:szCs w:val="24"/>
          <w:lang w:val="en-US"/>
        </w:rPr>
        <w:lastRenderedPageBreak/>
        <w:t xml:space="preserve">results in the upper respiratory tract samples, positive results continued to be obtained in gastrointestinal tract samples </w:t>
      </w:r>
      <w:r w:rsidRPr="00CA3081">
        <w:rPr>
          <w:iCs/>
          <w:color w:val="000000"/>
          <w:sz w:val="24"/>
          <w:szCs w:val="24"/>
          <w:lang w:val="en-US"/>
        </w:rPr>
        <w:fldChar w:fldCharType="begin"/>
      </w:r>
      <w:r w:rsidR="005C635D">
        <w:rPr>
          <w:iCs/>
          <w:color w:val="000000"/>
          <w:sz w:val="24"/>
          <w:szCs w:val="24"/>
          <w:lang w:val="en-US"/>
        </w:rPr>
        <w:instrText xml:space="preserve"> ADDIN ZOTERO_ITEM CSL_CITATION {"citationID":"fNpDQ1VH","properties":{"formattedCitation":"(12)","plainCitation":"(12)","noteIndex":0},"citationItems":[{"id":393,"uris":["http://zotero.org/users/6447875/items/3F33MUYH"],"uri":["http://zotero.org/users/6447875/items/3F33MUYH"],"itemData":{"id":393,"type":"article-journal","container-title":"Protein &amp; Cell","DOI":"10.1007/s13238-020-00778-8","ISSN":"1674-8018","journalAbbreviation":"Protein Cell","language":"eng","note":"PMID: 32978728\nPMCID: PMC7518948","source":"PubMed","title":"Re-detectable positive SARS-CoV-2 RNA tests in patients who recovered from COVID-19 with intestinal infection","author":[{"family":"Tao","given":"Wanyin"},{"family":"Wang","given":"Xiaofang"},{"family":"Zhang","given":"Guorong"},{"family":"Guo","given":"Meng"},{"family":"Ma","given":"Huan"},{"family":"Zhao","given":"Dan"},{"family":"Sun","given":"Yong"},{"family":"He","given":"Jun"},{"family":"Liu","given":"Lianxin"},{"family":"Zhang","given":"Kaiguang"},{"family":"Wang","given":"Yucai"},{"family":"Weng","given":"Jianping"},{"family":"Ma","given":"Xiaoling"},{"family":"Jin","given":"Tengchuan"},{"family":"Zhu","given":"Shu"}],"issued":{"date-parts":[["2020",9,26]]}}}],"schema":"https://github.com/citation-style-language/schema/raw/master/csl-citation.json"} </w:instrText>
      </w:r>
      <w:r w:rsidRPr="00CA3081">
        <w:rPr>
          <w:iCs/>
          <w:color w:val="000000"/>
          <w:sz w:val="24"/>
          <w:szCs w:val="24"/>
          <w:lang w:val="en-US"/>
        </w:rPr>
        <w:fldChar w:fldCharType="separate"/>
      </w:r>
      <w:r w:rsidR="005C635D" w:rsidRPr="005C635D">
        <w:rPr>
          <w:sz w:val="24"/>
          <w:lang w:val="en-US"/>
        </w:rPr>
        <w:t>(12)</w:t>
      </w:r>
      <w:r w:rsidRPr="00CA3081">
        <w:rPr>
          <w:color w:val="000000"/>
          <w:sz w:val="24"/>
          <w:szCs w:val="24"/>
        </w:rPr>
        <w:fldChar w:fldCharType="end"/>
      </w:r>
      <w:r w:rsidRPr="00CA3081">
        <w:rPr>
          <w:iCs/>
          <w:color w:val="000000"/>
          <w:sz w:val="24"/>
          <w:szCs w:val="24"/>
          <w:lang w:val="en-US"/>
        </w:rPr>
        <w:t xml:space="preserve">. Ai Tang Xiao et al. examined 70 COVID-19 patients who were tested positive again in their study and suggested that 15 (21.4%) may be false negative, and that these patients may show positive again due to prolonged nucleic acid conversion </w:t>
      </w:r>
      <w:r w:rsidRPr="00CA3081">
        <w:rPr>
          <w:iCs/>
          <w:color w:val="000000"/>
          <w:sz w:val="24"/>
          <w:szCs w:val="24"/>
          <w:lang w:val="en-US"/>
        </w:rPr>
        <w:fldChar w:fldCharType="begin"/>
      </w:r>
      <w:r w:rsidR="005C635D">
        <w:rPr>
          <w:iCs/>
          <w:color w:val="000000"/>
          <w:sz w:val="24"/>
          <w:szCs w:val="24"/>
          <w:lang w:val="en-US"/>
        </w:rPr>
        <w:instrText xml:space="preserve"> ADDIN ZOTERO_ITEM CSL_CITATION {"citationID":"izyxY7OJ","properties":{"formattedCitation":"(13)","plainCitation":"(13)","noteIndex":0},"citationItems":[{"id":399,"uris":["http://zotero.org/users/6447875/items/6QXKX8A5"],"uri":["http://zotero.org/users/6447875/items/6QXKX8A5"],"itemData":{"id":399,"type":"article-journal","container-title":"Journal of Medical Virology","DOI":"10.1002/jmv.25855","ISSN":"1096-9071","issue":"10","journalAbbreviation":"J Med Virol","language":"eng","note":"PMID: 32270882\nPMCID: PMC7262304","page":"1755-1756","source":"PubMed","title":"False negative of RT-PCR and prolonged nucleic acid conversion in COVID-19: Rather than recurrence","title-short":"False negative of RT-PCR and prolonged nucleic acid conversion in COVID-19","volume":"92","author":[{"family":"Xiao","given":"Ai Tang"},{"family":"Tong","given":"Yi Xin"},{"family":"Zhang","given":"Sheng"}],"issued":{"date-parts":[["2020",10]]}}}],"schema":"https://github.com/citation-style-language/schema/raw/master/csl-citation.json"} </w:instrText>
      </w:r>
      <w:r w:rsidRPr="00CA3081">
        <w:rPr>
          <w:iCs/>
          <w:color w:val="000000"/>
          <w:sz w:val="24"/>
          <w:szCs w:val="24"/>
          <w:lang w:val="en-US"/>
        </w:rPr>
        <w:fldChar w:fldCharType="separate"/>
      </w:r>
      <w:r w:rsidR="005C635D" w:rsidRPr="005C635D">
        <w:rPr>
          <w:sz w:val="24"/>
          <w:lang w:val="en-US"/>
        </w:rPr>
        <w:t>(13)</w:t>
      </w:r>
      <w:r w:rsidRPr="00CA3081">
        <w:rPr>
          <w:color w:val="000000"/>
          <w:sz w:val="24"/>
          <w:szCs w:val="24"/>
        </w:rPr>
        <w:fldChar w:fldCharType="end"/>
      </w:r>
      <w:r w:rsidRPr="00CA3081">
        <w:rPr>
          <w:iCs/>
          <w:color w:val="000000"/>
          <w:sz w:val="24"/>
          <w:szCs w:val="24"/>
          <w:lang w:val="en-US"/>
        </w:rPr>
        <w:t xml:space="preserve">. Since there were reports on the detection of the virus ,n the upper respiratory tract of the COVID-19 patients for at most 83 days, Falahi and Kenarkoohi reported that positive results after 83 days could be considered reinfection if there was a symptom-free period between them, otherwise it could be considered as a prolonged COVID-19 infection </w:t>
      </w:r>
      <w:r w:rsidRPr="00CA3081">
        <w:rPr>
          <w:iCs/>
          <w:color w:val="000000"/>
          <w:sz w:val="24"/>
          <w:szCs w:val="24"/>
          <w:lang w:val="en-US"/>
        </w:rPr>
        <w:fldChar w:fldCharType="begin"/>
      </w:r>
      <w:r w:rsidR="005C635D">
        <w:rPr>
          <w:iCs/>
          <w:color w:val="000000"/>
          <w:sz w:val="24"/>
          <w:szCs w:val="24"/>
          <w:lang w:val="en-US"/>
        </w:rPr>
        <w:instrText xml:space="preserve"> ADDIN ZOTERO_ITEM CSL_CITATION {"citationID":"YkzqYZUq","properties":{"formattedCitation":"(14)","plainCitation":"(14)","noteIndex":0},"citationItems":[{"id":390,"uris":["http://zotero.org/users/6447875/items/SPVKJCGH"],"uri":["http://zotero.org/users/6447875/items/SPVKJCGH"],"itemData":{"id":390,"type":"article-journal","abstract":"The SARS-CoV-2 pandemic is underway and millions of people have been infected. A large number of patients with COVID-19 have recovered and been discharged. While a number of recovered patients test positive again or even have a recurrence of clinical symptoms. Some researchers believe that a positive retest is related to the long-term persistence of the virus in the body, although there is some evidence in favor of reinfection. In this study, we focus more on the possible reasons for positive retesting, antibody responses, and review of possible reinfection case reports.","container-title":"New Microbes and New Infections","DOI":"10.1016/j.nmni.2020.100812","ISSN":"2052-2975","journalAbbreviation":"New Microbes and New Infections","language":"en","page":"100812","source":"ScienceDirect","title":"COVID-19 reinfection: prolonged shedding or true reinfection?","title-short":"COVID-19 reinfection","volume":"38","author":[{"family":"Falahi","given":"S."},{"family":"Kenarkoohi","given":"A."}],"issued":{"date-parts":[["2020",11,1]]}}}],"schema":"https://github.com/citation-style-language/schema/raw/master/csl-citation.json"} </w:instrText>
      </w:r>
      <w:r w:rsidRPr="00CA3081">
        <w:rPr>
          <w:iCs/>
          <w:color w:val="000000"/>
          <w:sz w:val="24"/>
          <w:szCs w:val="24"/>
          <w:lang w:val="en-US"/>
        </w:rPr>
        <w:fldChar w:fldCharType="separate"/>
      </w:r>
      <w:r w:rsidR="005C635D" w:rsidRPr="005C635D">
        <w:rPr>
          <w:sz w:val="24"/>
          <w:lang w:val="en-US"/>
        </w:rPr>
        <w:t>(14)</w:t>
      </w:r>
      <w:r w:rsidRPr="00CA3081">
        <w:rPr>
          <w:color w:val="000000"/>
          <w:sz w:val="24"/>
          <w:szCs w:val="24"/>
        </w:rPr>
        <w:fldChar w:fldCharType="end"/>
      </w:r>
      <w:r w:rsidRPr="00CA3081">
        <w:rPr>
          <w:iCs/>
          <w:color w:val="000000"/>
          <w:sz w:val="24"/>
          <w:szCs w:val="24"/>
          <w:lang w:val="en-US"/>
        </w:rPr>
        <w:t>.</w:t>
      </w:r>
    </w:p>
    <w:p w:rsidR="00CA3081" w:rsidRPr="00CA3081" w:rsidRDefault="00CA3081" w:rsidP="00CA3081">
      <w:pPr>
        <w:ind w:firstLine="426"/>
        <w:jc w:val="both"/>
        <w:rPr>
          <w:iCs/>
          <w:color w:val="000000"/>
          <w:sz w:val="24"/>
          <w:szCs w:val="24"/>
          <w:lang w:val="en-US"/>
        </w:rPr>
      </w:pPr>
    </w:p>
    <w:p w:rsidR="00CA3081" w:rsidRPr="00CA3081" w:rsidRDefault="00CA3081" w:rsidP="00CA3081">
      <w:pPr>
        <w:ind w:firstLine="426"/>
        <w:jc w:val="both"/>
        <w:rPr>
          <w:iCs/>
          <w:color w:val="000000"/>
          <w:sz w:val="24"/>
          <w:szCs w:val="24"/>
          <w:lang w:val="en-US"/>
        </w:rPr>
      </w:pPr>
      <w:r w:rsidRPr="00CA3081">
        <w:rPr>
          <w:iCs/>
          <w:color w:val="000000"/>
          <w:sz w:val="24"/>
          <w:szCs w:val="24"/>
          <w:lang w:val="en-US"/>
        </w:rPr>
        <w:t xml:space="preserve">In a meta-analysis study, Muge Cevik et al. examined 79 COVID-19 studies, and found that the average time to detect virus in upper respiratory tract, lower respiratory tract, feces, and serum as 17 days, 14.6 days, 17.2 days and 16.6 days, respectively. In addition, they noted that the longest duration of time for virus positivity were 83 days, 59 days, 35 days and 60 days, respectively, in the same areas </w:t>
      </w:r>
      <w:r w:rsidRPr="00CA3081">
        <w:rPr>
          <w:iCs/>
          <w:color w:val="000000"/>
          <w:sz w:val="24"/>
          <w:szCs w:val="24"/>
          <w:lang w:val="en-US"/>
        </w:rPr>
        <w:fldChar w:fldCharType="begin"/>
      </w:r>
      <w:r w:rsidR="005C635D">
        <w:rPr>
          <w:iCs/>
          <w:color w:val="000000"/>
          <w:sz w:val="24"/>
          <w:szCs w:val="24"/>
          <w:lang w:val="en-US"/>
        </w:rPr>
        <w:instrText xml:space="preserve"> ADDIN ZOTERO_ITEM CSL_CITATION {"citationID":"WXfyeVm9","properties":{"formattedCitation":"(15)","plainCitation":"(15)","noteIndex":0},"citationItems":[{"id":398,"uris":["http://zotero.org/users/6447875/items/3BBLJVPJ"],"uri":["http://zotero.org/users/6447875/items/3BBLJVPJ"],"itemData":{"id":398,"type":"report","abstract":"Background: Viral load kinetics and duration of viral shedding are important determinants for disease transmission. The aim of this review was to characterize viral load dynamics, duration of viral RNA and viable virus shedding of SARS-CoV-2 in various body fluids, and to compare SARS-CoV-2, SARS-CoV-1 and MERS-CoV viral dynamics.Methods: Medline, EMBASE, Europe PMC, medRxiv, bioRxiv, and grey literature from January 1st 2003 to June 6th 2020. Two authors independently extracted data and assessed study quality and risk of bias using the Joanna Briggs Institute Critical Appraisal Checklist tools. PROSPERO registration: CRD42020181914.Findings: Seventy-nine studies on SARS-CoV-2, 8 on SARS-CoV-1, and 11 on MERS-CoV were included. Mean SARS-CoV-2 RNA shedding duration in the upper respiratory tract (URT), lower respiratory tract (LRT), stool and serum were 17.0, 14.6, 17.2 and 16.6 days, respectively. Maximum shedding duration in URT, LRT, stool and serum were 83, 59, 35 and 60 days, respectively. Pooled mean SARS-CoV-2 shedding duration was positively associated with age. No study has detected live virus beyond day nine of illness, despite persistently high viral loads. SARS-CoV-2 viral load in the upper URT appears to peak in the first week of illness, while SARS-CoV-1 and MERS-CoV peak later.Conclusion: Although SARS-CoV-2 RNA shedding in respiratory and stool samples can be prolonged, duration of viable virus is relatively short-lived. SARS-CoV-2 titers in URT peak in the first week of illness. Early case finding and isolation, and public education on the spectrum of illness are key to the effective containment of SARS-CoV-2.Funding Statement: There was no funding for this study.Declaration of Interests: All authors have nothing to disclose.","event-place":"Rochester, NY","genre":"SSRN Scholarly Paper","language":"en","note":"DOI: 10.2139/ssrn.3677918","number":"ID 3677918","publisher":"Social Science Research Network","publisher-place":"Rochester, NY","source":"papers.ssrn.com","title":"SARS-CoV-2, SARS-CoV-1 and MERS-CoV Viral Load Dynamics, Duration of Viral Shedding and Infectiousness: A Living Systematic Review and Meta-Analysis","title-short":"SARS-CoV-2, SARS-CoV-1 and MERS-CoV Viral Load Dynamics, Duration of Viral Shedding and Infectiousness","URL":"https://papers.ssrn.com/abstract=3677918","author":[{"family":"Cevik","given":"Muge"},{"family":"Tate","given":"Matthew"},{"family":"Lloyd","given":"Ollie"},{"family":"Maraolo","given":"Alberto Enrico"},{"family":"Schafers","given":"Jenna"},{"family":"Ho","given":"Antonia"}],"accessed":{"date-parts":[["2021",1,11]]},"issued":{"date-parts":[["2020",10,12]]}}}],"schema":"https://github.com/citation-style-language/schema/raw/master/csl-citation.json"} </w:instrText>
      </w:r>
      <w:r w:rsidRPr="00CA3081">
        <w:rPr>
          <w:iCs/>
          <w:color w:val="000000"/>
          <w:sz w:val="24"/>
          <w:szCs w:val="24"/>
          <w:lang w:val="en-US"/>
        </w:rPr>
        <w:fldChar w:fldCharType="separate"/>
      </w:r>
      <w:r w:rsidR="005C635D" w:rsidRPr="005C635D">
        <w:rPr>
          <w:sz w:val="24"/>
          <w:lang w:val="en-US"/>
        </w:rPr>
        <w:t>(15)</w:t>
      </w:r>
      <w:r w:rsidRPr="00CA3081">
        <w:rPr>
          <w:color w:val="000000"/>
          <w:sz w:val="24"/>
          <w:szCs w:val="24"/>
        </w:rPr>
        <w:fldChar w:fldCharType="end"/>
      </w:r>
      <w:r w:rsidRPr="00CA3081">
        <w:rPr>
          <w:iCs/>
          <w:color w:val="000000"/>
          <w:sz w:val="24"/>
          <w:szCs w:val="24"/>
          <w:lang w:val="en-US"/>
        </w:rPr>
        <w:t>.</w:t>
      </w:r>
    </w:p>
    <w:p w:rsidR="00CA3081" w:rsidRPr="00CA3081" w:rsidRDefault="00CA3081" w:rsidP="00CA3081">
      <w:pPr>
        <w:ind w:firstLine="426"/>
        <w:jc w:val="both"/>
        <w:rPr>
          <w:iCs/>
          <w:color w:val="000000"/>
          <w:sz w:val="24"/>
          <w:szCs w:val="24"/>
          <w:lang w:val="en-US"/>
        </w:rPr>
      </w:pPr>
    </w:p>
    <w:p w:rsidR="00CA3081" w:rsidRPr="00CA3081" w:rsidRDefault="00CA3081" w:rsidP="00CA3081">
      <w:pPr>
        <w:ind w:firstLine="426"/>
        <w:jc w:val="both"/>
        <w:rPr>
          <w:iCs/>
          <w:color w:val="000000"/>
          <w:sz w:val="24"/>
          <w:szCs w:val="24"/>
          <w:lang w:val="en-US"/>
        </w:rPr>
      </w:pPr>
      <w:r w:rsidRPr="00CA3081">
        <w:rPr>
          <w:iCs/>
          <w:color w:val="000000"/>
          <w:sz w:val="24"/>
          <w:szCs w:val="24"/>
          <w:lang w:val="en-US"/>
        </w:rPr>
        <w:t xml:space="preserve">In our study, 117 patients were found to be tested positive for RT-PCR again within the first 30 days, but 32 patients (16.84%) were RT-PCR positive in their re-admissions after 91 days and above. It is not possible to make a final decision on this issue until there is a guideline to help us to decide which case is a prolonged COVID-19 infection and which case is a reinfection. However, despite the negative RT-PCR test results in upper respiratory tract samples, it may be correct to consider the positive RT-PCR results within the first three months as the manifestation of a prolonged infection due to the fact that the virus can continue to exist in the gastrointestinal tract, and the virus can remain positive for up to 83 days. Moreover, although it is not certain, it is understood that further research and information is needed to consider the new positive test results that will </w:t>
      </w:r>
      <w:r w:rsidRPr="00CA3081">
        <w:rPr>
          <w:iCs/>
          <w:color w:val="000000"/>
          <w:sz w:val="24"/>
          <w:szCs w:val="24"/>
          <w:lang w:val="en-US"/>
        </w:rPr>
        <w:lastRenderedPageBreak/>
        <w:t>occur in hospital admission after the first three months as a recurrent COVID-19 infection.</w:t>
      </w:r>
    </w:p>
    <w:p w:rsidR="00CA3081" w:rsidRPr="00CA3081" w:rsidRDefault="00CA3081" w:rsidP="00CA3081">
      <w:pPr>
        <w:ind w:firstLine="426"/>
        <w:jc w:val="both"/>
        <w:rPr>
          <w:iCs/>
          <w:color w:val="000000"/>
          <w:sz w:val="24"/>
          <w:szCs w:val="24"/>
          <w:lang w:val="en-US"/>
        </w:rPr>
      </w:pPr>
    </w:p>
    <w:p w:rsidR="00CA3081" w:rsidRPr="00CA3081" w:rsidRDefault="00CA3081" w:rsidP="00CA3081">
      <w:pPr>
        <w:ind w:firstLine="426"/>
        <w:jc w:val="both"/>
        <w:rPr>
          <w:color w:val="000000"/>
          <w:sz w:val="24"/>
          <w:szCs w:val="24"/>
          <w:lang w:val="en-US"/>
        </w:rPr>
      </w:pPr>
      <w:r w:rsidRPr="00CA3081">
        <w:rPr>
          <w:iCs/>
          <w:color w:val="000000"/>
          <w:sz w:val="24"/>
          <w:szCs w:val="24"/>
          <w:lang w:val="en-US"/>
        </w:rPr>
        <w:t xml:space="preserve">Tie-Jun Shui et al. noted that patients who tested positive for the second time were mostly mild and moderately severe, while Bo Yuan et al. reported that recurrent positivity was more common in young people and asymptomatic </w:t>
      </w:r>
      <w:r w:rsidRPr="00CA3081">
        <w:rPr>
          <w:iCs/>
          <w:color w:val="000000"/>
          <w:sz w:val="24"/>
          <w:szCs w:val="24"/>
          <w:lang w:val="en-US"/>
        </w:rPr>
        <w:fldChar w:fldCharType="begin"/>
      </w:r>
      <w:r w:rsidR="005C635D">
        <w:rPr>
          <w:iCs/>
          <w:color w:val="000000"/>
          <w:sz w:val="24"/>
          <w:szCs w:val="24"/>
          <w:lang w:val="en-US"/>
        </w:rPr>
        <w:instrText xml:space="preserve"> ADDIN ZOTERO_ITEM CSL_CITATION {"citationID":"gYXbTt4B","properties":{"formattedCitation":"(8,9)","plainCitation":"(8,9)","noteIndex":0},"citationItems":[{"id":375,"uris":["http://zotero.org/users/6447875/items/AUR9QULN"],"uri":["http://zotero.org/users/6447875/items/AUR9QULN"],"itemData":{"id":375,"type":"article-journal","abstract":"Two months after the outbreak of coronavirus disease 2019 (COVID-19) in Wuhan, China, tens of thousands of hospitalized patients had recovered, and little is known about the follow-up of the recovered patients.","container-title":"BMC Infectious Diseases","DOI":"10.1186/s12879-020-05463-z","ISSN":"1471-2334","issue":"1","journalAbbreviation":"BMC Infectious Diseases","page":"749","source":"BioMed Central","title":"Characteristics of recovered COVID-19 patients with recurrent positive RT-PCR findings in Wuhan, China: a retrospective study","title-short":"Characteristics of recovered COVID-19 patients with recurrent positive RT-PCR findings in Wuhan, China","volume":"20","author":[{"family":"Shui","given":"Tie-Jun"},{"family":"Li","given":"Chao"},{"family":"Liu","given":"Hong-bing"},{"family":"Chen","given":"Xiaohua"},{"family":"Zhang","given":"Bi-ke"}],"issued":{"date-parts":[["2020",10,13]]}}},{"id":377,"uris":["http://zotero.org/users/6447875/items/44XE4HLT"],"uri":["http://zotero.org/users/6447875/items/44XE4HLT"],"itemData":{"id":377,"type":"article-journal","abstract":"Recently, the recurrence of positive SARS-CoV-2 viral RNA in recovered COVID-19 patients is receiving more attention. Herein we report a cohort study on the follow-up of 182 recovered patients under medical isolation observation. Twenty (10.99%) patients out of the 182 were detected to be SARS-CoV-2 RNA positive (re-positives), although none showed any clinical symptomatic recurrence, indicating that COVID-19 responds well to treatment. Patients aged under 18 years had higher re-positive rates than average, and none of the severely ill patients re-tested positive. There were no significant differences in sex between re-positives and non-re-positives. Notably, most of the re-positives turned negative in the following tests, and all of them carried antibodies against SARS-CoV-2. This indicates that they might not be infectious, although it is still important to perform regular SARS-CoV-2 RNA testing and follow-up for assessment of infectivity. The findings of this study provide information for improving the management of recovered patients, and for differentiating the follow-up of recovered patients with different risk levels.","container-title":"Scientific Reports","DOI":"10.1038/s41598-020-68782-w","ISSN":"2045-2322","issue":"1","language":"en","note":"number: 1\npublisher: Nature Publishing Group","page":"11887","source":"www.nature.com","title":"Recurrence of positive SARS-CoV-2 viral RNA in recovered COVID-19 patients during medical isolation observation","volume":"10","author":[{"family":"Yuan","given":"Bo"},{"family":"Liu","given":"Han-Qing"},{"family":"Yang","given":"Zheng-Rong"},{"family":"Chen","given":"Yong-Xin"},{"family":"Liu","given":"Zhi-Yong"},{"family":"Zhang","given":"Kai"},{"family":"Wang","given":"Cheng"},{"family":"Li","given":"Wei-Xin"},{"family":"An","given":"Ya-Wen"},{"family":"Wang","given":"Jian-Chun"},{"family":"Song","given":"Shuo"}],"issued":{"date-parts":[["2020",7,17]]}}}],"schema":"https://github.com/citation-style-language/schema/raw/master/csl-citation.json"} </w:instrText>
      </w:r>
      <w:r w:rsidRPr="00CA3081">
        <w:rPr>
          <w:iCs/>
          <w:color w:val="000000"/>
          <w:sz w:val="24"/>
          <w:szCs w:val="24"/>
          <w:lang w:val="en-US"/>
        </w:rPr>
        <w:fldChar w:fldCharType="separate"/>
      </w:r>
      <w:r w:rsidR="005C635D" w:rsidRPr="005C635D">
        <w:rPr>
          <w:sz w:val="24"/>
          <w:lang w:val="en-US"/>
        </w:rPr>
        <w:t>(8,9)</w:t>
      </w:r>
      <w:r w:rsidRPr="00CA3081">
        <w:rPr>
          <w:color w:val="000000"/>
          <w:sz w:val="24"/>
          <w:szCs w:val="24"/>
        </w:rPr>
        <w:fldChar w:fldCharType="end"/>
      </w:r>
      <w:r w:rsidRPr="00CA3081">
        <w:rPr>
          <w:iCs/>
          <w:color w:val="000000"/>
          <w:sz w:val="24"/>
          <w:szCs w:val="24"/>
          <w:lang w:val="en-US"/>
        </w:rPr>
        <w:t xml:space="preserve">. In line with this, Anna Gidari found that the mortality rate of the patients who were positive again was only 2.1% in her research </w:t>
      </w:r>
      <w:r w:rsidRPr="00CA3081">
        <w:rPr>
          <w:iCs/>
          <w:color w:val="000000"/>
          <w:sz w:val="24"/>
          <w:szCs w:val="24"/>
          <w:lang w:val="en-US"/>
        </w:rPr>
        <w:fldChar w:fldCharType="begin"/>
      </w:r>
      <w:r w:rsidR="005C635D">
        <w:rPr>
          <w:iCs/>
          <w:color w:val="000000"/>
          <w:sz w:val="24"/>
          <w:szCs w:val="24"/>
          <w:lang w:val="en-US"/>
        </w:rPr>
        <w:instrText xml:space="preserve"> ADDIN ZOTERO_ITEM CSL_CITATION {"citationID":"5p5lxlH3","properties":{"formattedCitation":"(16)","plainCitation":"(16)","noteIndex":0},"citationItems":[{"id":376,"uris":["http://zotero.org/users/6447875/items/LP9Q4XY4"],"uri":["http://zotero.org/users/6447875/items/LP9Q4XY4"],"itemData":{"id":376,"type":"article-journal","abstract":"Can a patient diagnosed with severe acute respiratory syndrome coronavirus-2 (SARS-CoV-2) be infected again? This question is still unsolved. We tried to analyze local and literature cases with a positive respiratory swab after recovery. We collected data from symptomatic patients diagnosed with SARS-CoV-2 infection in the Italian Umbria Region that, after recovery, were again positive for SARS-CoV-2 in respiratory tract specimens. Samples were also assessed for infectivity in vitro. A systematic review of similar cases reported in the literature was performed. The study population was composed of 9 patients during a 4-month study period. Among the new positive samples, six were inoculated in Vero-E6 cells and showed no growth and negative molecular test in culture supernatants. All patients were positive for IgG against SARS-CoV-2 nucleoprotein and/or S protein. Conducting a review of the literature, 1350 similar cases have been found. The presumptive reactivation occurred in 34.5 days on average (standard deviation, SD, 18.7 days) after COVID-19 onset, when the 5.6% of patients presented fever and the 27.6% symptoms. The outcome was favorable in 96.7% of patients, while the 1.1% of them were still hospitalized at the time of data collection and the 2.1% died. Several hypotheses have been formulated to explain new positive respiratory samples after confirmed negativity. According to this study, the phenomenon seems to be due to the prolonged detection of SARS-CoV-2 RNA traces in respiratory samples of recovered patients. The failure of the virus to replicate in vitro suggests its inability to replicate in vivo.","container-title":"European Journal of Clinical Microbiology &amp; Infectious Diseases: Official Publication of the European Society of Clinical Microbiology","DOI":"10.1007/s10096-020-04057-6","ISSN":"1435-4373","issue":"1","journalAbbreviation":"Eur J Clin Microbiol Infect Dis","language":"eng","note":"PMID: 33037944\nPMCID: PMC7547550","page":"1-12","source":"PubMed","title":"Is recurrence possible in coronavirus disease 2019 (COVID-19)? Case series and systematic review of literature","title-short":"Is recurrence possible in coronavirus disease 2019 (COVID-19)?","volume":"40","author":[{"family":"Gidari","given":"Anna"},{"family":"Nofri","given":"Marco"},{"family":"Saccarelli","given":"Luca"},{"family":"Bastianelli","given":"Sabrina"},{"family":"Sabbatini","given":"Samuele"},{"family":"Bozza","given":"Silvia"},{"family":"Camilloni","given":"Barbara"},{"family":"Fusco-Moffa","given":"Igino"},{"family":"Monari","given":"Claudia"},{"family":"De Robertis","given":"Edoardo"},{"family":"Mencacci","given":"Antonella"},{"family":"Francisci","given":"Daniela"}],"issued":{"date-parts":[["2021",1]]}}}],"schema":"https://github.com/citation-style-language/schema/raw/master/csl-citation.json"} </w:instrText>
      </w:r>
      <w:r w:rsidRPr="00CA3081">
        <w:rPr>
          <w:iCs/>
          <w:color w:val="000000"/>
          <w:sz w:val="24"/>
          <w:szCs w:val="24"/>
          <w:lang w:val="en-US"/>
        </w:rPr>
        <w:fldChar w:fldCharType="separate"/>
      </w:r>
      <w:r w:rsidR="005C635D" w:rsidRPr="005C635D">
        <w:rPr>
          <w:sz w:val="24"/>
          <w:lang w:val="en-US"/>
        </w:rPr>
        <w:t>(16)</w:t>
      </w:r>
      <w:r w:rsidRPr="00CA3081">
        <w:rPr>
          <w:color w:val="000000"/>
          <w:sz w:val="24"/>
          <w:szCs w:val="24"/>
        </w:rPr>
        <w:fldChar w:fldCharType="end"/>
      </w:r>
      <w:r w:rsidRPr="00CA3081">
        <w:rPr>
          <w:iCs/>
          <w:color w:val="000000"/>
          <w:sz w:val="24"/>
          <w:szCs w:val="24"/>
          <w:lang w:val="en-US"/>
        </w:rPr>
        <w:t>. As a result of the present study, 147 (77.4%) of the patients received outpatient treatment, only 12 patients (6.31%) needed intensive care, and the number of deaths was 7 people (3.68%), which are in line with these results.</w:t>
      </w:r>
      <w:r w:rsidRPr="00CA3081">
        <w:rPr>
          <w:color w:val="000000"/>
          <w:sz w:val="24"/>
          <w:szCs w:val="24"/>
          <w:lang w:val="en-US"/>
        </w:rPr>
        <w:t xml:space="preserve"> </w:t>
      </w:r>
    </w:p>
    <w:p w:rsidR="00CA3081" w:rsidRPr="00CA3081" w:rsidRDefault="00CA3081" w:rsidP="00CA3081">
      <w:pPr>
        <w:ind w:firstLine="426"/>
        <w:jc w:val="both"/>
        <w:rPr>
          <w:color w:val="000000"/>
          <w:sz w:val="24"/>
          <w:szCs w:val="24"/>
          <w:lang w:val="en-US"/>
        </w:rPr>
      </w:pPr>
    </w:p>
    <w:p w:rsidR="00CA3081" w:rsidRPr="00CA3081" w:rsidRDefault="00CA3081" w:rsidP="00CA3081">
      <w:pPr>
        <w:ind w:firstLine="426"/>
        <w:jc w:val="both"/>
        <w:rPr>
          <w:b/>
          <w:iCs/>
          <w:color w:val="000000"/>
          <w:sz w:val="24"/>
          <w:szCs w:val="24"/>
          <w:lang w:val="en-US"/>
        </w:rPr>
      </w:pPr>
      <w:r w:rsidRPr="00CA3081">
        <w:rPr>
          <w:b/>
          <w:iCs/>
          <w:color w:val="000000"/>
          <w:sz w:val="24"/>
          <w:szCs w:val="24"/>
          <w:lang w:val="en-US"/>
        </w:rPr>
        <w:t>CONCLUSION</w:t>
      </w:r>
    </w:p>
    <w:p w:rsidR="00CA3081" w:rsidRPr="00CA3081" w:rsidRDefault="00CA3081" w:rsidP="00CA3081">
      <w:pPr>
        <w:ind w:firstLine="426"/>
        <w:jc w:val="both"/>
        <w:rPr>
          <w:iCs/>
          <w:color w:val="000000"/>
          <w:sz w:val="24"/>
          <w:szCs w:val="24"/>
          <w:lang w:val="en-US"/>
        </w:rPr>
      </w:pPr>
      <w:r w:rsidRPr="00CA3081">
        <w:rPr>
          <w:iCs/>
          <w:color w:val="000000"/>
          <w:sz w:val="24"/>
          <w:szCs w:val="24"/>
          <w:lang w:val="en-US"/>
        </w:rPr>
        <w:t>Recurrent positive RT-PCR can be observed in COVID-19 patients after their discharge. Although it is not yet possible to make a clear decision on whether this recurrent positivity is a symptom of a prolonged infection or a re-infection, it is clear that further research is needed in this regard. Patients who have a recurrent positive result usually survive the disease with outpatient treatment for their mild illness. Hospitalization rates of male patients were higher than those of females, and the duration of hospital stay was found to increase as the age of the patients increases.</w:t>
      </w:r>
    </w:p>
    <w:p w:rsidR="00CA3081" w:rsidRPr="00E5363A" w:rsidRDefault="00CA3081" w:rsidP="00CA3081">
      <w:pPr>
        <w:ind w:firstLine="426"/>
        <w:jc w:val="both"/>
        <w:rPr>
          <w:b/>
          <w:bCs/>
          <w:lang w:val="id-ID"/>
        </w:rPr>
      </w:pPr>
      <w:r>
        <w:rPr>
          <w:color w:val="000000"/>
          <w:sz w:val="24"/>
          <w:szCs w:val="24"/>
        </w:rPr>
        <w:t xml:space="preserve"> </w:t>
      </w:r>
    </w:p>
    <w:p w:rsidR="00E3045B" w:rsidRDefault="00E3045B">
      <w:pPr>
        <w:pStyle w:val="Balk1"/>
        <w:ind w:left="0"/>
      </w:pPr>
    </w:p>
    <w:p w:rsidR="00AD6F56" w:rsidRDefault="00E5363A">
      <w:pPr>
        <w:pStyle w:val="Balk1"/>
        <w:ind w:left="0"/>
      </w:pPr>
      <w:r>
        <w:t>REFERENCES</w:t>
      </w:r>
    </w:p>
    <w:p w:rsidR="005C635D" w:rsidRPr="005C635D" w:rsidRDefault="005C635D" w:rsidP="005C635D">
      <w:pPr>
        <w:pStyle w:val="Kaynaka"/>
        <w:rPr>
          <w:sz w:val="24"/>
        </w:rPr>
      </w:pPr>
      <w:r>
        <w:fldChar w:fldCharType="begin"/>
      </w:r>
      <w:r>
        <w:instrText xml:space="preserve"> ADDIN ZOTERO_BIBL {"uncited":[],"omitted":[],"custom":[]} CSL_BIBLIOGRAPHY </w:instrText>
      </w:r>
      <w:r>
        <w:fldChar w:fldCharType="separate"/>
      </w:r>
      <w:r w:rsidRPr="005C635D">
        <w:rPr>
          <w:sz w:val="24"/>
        </w:rPr>
        <w:t xml:space="preserve">1. </w:t>
      </w:r>
      <w:r w:rsidRPr="005C635D">
        <w:rPr>
          <w:sz w:val="24"/>
        </w:rPr>
        <w:tab/>
        <w:t xml:space="preserve">Katewongsa P, Widyastari DA, Saonuam P, Haemathulin N, Wongsingha N. The effects of the COVID-19 pandemic on the physical activity of the Thai population: Evidence from Thailand’s Surveillance on Physical Activity 2020. Journal of Sport and Health Science. 2020 Oct;S2095254620301344. </w:t>
      </w:r>
    </w:p>
    <w:p w:rsidR="005C635D" w:rsidRPr="005C635D" w:rsidRDefault="005C635D" w:rsidP="005C635D">
      <w:pPr>
        <w:pStyle w:val="Kaynaka"/>
        <w:rPr>
          <w:sz w:val="24"/>
        </w:rPr>
      </w:pPr>
      <w:r w:rsidRPr="005C635D">
        <w:rPr>
          <w:sz w:val="24"/>
        </w:rPr>
        <w:t xml:space="preserve">2. </w:t>
      </w:r>
      <w:r w:rsidRPr="005C635D">
        <w:rPr>
          <w:sz w:val="24"/>
        </w:rPr>
        <w:tab/>
        <w:t xml:space="preserve">Nicola M, Alsafi Z, Sohrabi C, Kerwan A, Al-Jabir A, Iosifidis C, et al. The socio-economic implications of the </w:t>
      </w:r>
      <w:r w:rsidRPr="005C635D">
        <w:rPr>
          <w:sz w:val="24"/>
        </w:rPr>
        <w:lastRenderedPageBreak/>
        <w:t xml:space="preserve">coronavirus pandemic (COVID-19): A review. Int J Surg. 2020 Jun;78:185–93. </w:t>
      </w:r>
    </w:p>
    <w:p w:rsidR="005C635D" w:rsidRPr="005C635D" w:rsidRDefault="005C635D" w:rsidP="005C635D">
      <w:pPr>
        <w:pStyle w:val="Kaynaka"/>
        <w:rPr>
          <w:sz w:val="24"/>
        </w:rPr>
      </w:pPr>
      <w:r w:rsidRPr="005C635D">
        <w:rPr>
          <w:sz w:val="24"/>
        </w:rPr>
        <w:t xml:space="preserve">3. </w:t>
      </w:r>
      <w:r w:rsidRPr="005C635D">
        <w:rPr>
          <w:sz w:val="24"/>
        </w:rPr>
        <w:tab/>
        <w:t xml:space="preserve">Cacciapaglia G, Cot C, Sannino F. Second wave COVID-19 pandemics in Europe: a temporal playbook. Sci Rep. 2020 Dec;10(1):15514. </w:t>
      </w:r>
    </w:p>
    <w:p w:rsidR="005C635D" w:rsidRPr="005C635D" w:rsidRDefault="005C635D" w:rsidP="005C635D">
      <w:pPr>
        <w:pStyle w:val="Kaynaka"/>
        <w:rPr>
          <w:sz w:val="24"/>
        </w:rPr>
      </w:pPr>
      <w:r w:rsidRPr="005C635D">
        <w:rPr>
          <w:sz w:val="24"/>
        </w:rPr>
        <w:t xml:space="preserve">4. </w:t>
      </w:r>
      <w:r w:rsidRPr="005C635D">
        <w:rPr>
          <w:sz w:val="24"/>
        </w:rPr>
        <w:tab/>
        <w:t xml:space="preserve">Sharma O, Sultan AA, Ding H, Triggle CR. A Review of the Progress and Challenges of Developing a Vaccine for COVID-19. Front Immunol. 2020 Oct 14;11:585354. </w:t>
      </w:r>
    </w:p>
    <w:p w:rsidR="005C635D" w:rsidRPr="005C635D" w:rsidRDefault="005C635D" w:rsidP="005C635D">
      <w:pPr>
        <w:pStyle w:val="Kaynaka"/>
        <w:rPr>
          <w:sz w:val="24"/>
        </w:rPr>
      </w:pPr>
      <w:r w:rsidRPr="005C635D">
        <w:rPr>
          <w:sz w:val="24"/>
        </w:rPr>
        <w:t xml:space="preserve">5. </w:t>
      </w:r>
      <w:r w:rsidRPr="005C635D">
        <w:rPr>
          <w:sz w:val="24"/>
        </w:rPr>
        <w:tab/>
        <w:t xml:space="preserve">Lan L, Xu D, Ye G, Xia C, Wang S, Li Y, et al. Positive RT-PCR Test Results in Patients Recovered From COVID-19. JAMA. 2020 Apr 21;323(15):1502. </w:t>
      </w:r>
    </w:p>
    <w:p w:rsidR="005C635D" w:rsidRPr="005C635D" w:rsidRDefault="005C635D" w:rsidP="005C635D">
      <w:pPr>
        <w:pStyle w:val="Kaynaka"/>
        <w:rPr>
          <w:sz w:val="24"/>
        </w:rPr>
      </w:pPr>
      <w:r w:rsidRPr="005C635D">
        <w:rPr>
          <w:sz w:val="24"/>
        </w:rPr>
        <w:t xml:space="preserve">6. </w:t>
      </w:r>
      <w:r w:rsidRPr="005C635D">
        <w:rPr>
          <w:sz w:val="24"/>
        </w:rPr>
        <w:tab/>
        <w:t xml:space="preserve">George D, Mallery P. IBM SPSS statistics 25 step by step: a simple guide and reference. Fifteenth edition. New York ; London: Routledge, Taylor &amp; Francis Group; 2019. 404 p. </w:t>
      </w:r>
    </w:p>
    <w:p w:rsidR="005C635D" w:rsidRPr="005C635D" w:rsidRDefault="005C635D" w:rsidP="005C635D">
      <w:pPr>
        <w:pStyle w:val="Kaynaka"/>
        <w:rPr>
          <w:sz w:val="24"/>
        </w:rPr>
      </w:pPr>
      <w:r w:rsidRPr="005C635D">
        <w:rPr>
          <w:sz w:val="24"/>
        </w:rPr>
        <w:t xml:space="preserve">7. </w:t>
      </w:r>
      <w:r w:rsidRPr="005C635D">
        <w:rPr>
          <w:sz w:val="24"/>
        </w:rPr>
        <w:tab/>
        <w:t xml:space="preserve">Azam M, Sulistiana R, Ratnawati M, Fibriana AI, Bahrudin U, Widyaningrum D, et al. Recurrent SARS-CoV-2 RNA positivity after COVID-19: a systematic review and meta-analysis. Scientific Reports. 2020 Nov 26;10(1):20692. </w:t>
      </w:r>
    </w:p>
    <w:p w:rsidR="005C635D" w:rsidRPr="005C635D" w:rsidRDefault="005C635D" w:rsidP="005C635D">
      <w:pPr>
        <w:pStyle w:val="Kaynaka"/>
        <w:rPr>
          <w:sz w:val="24"/>
        </w:rPr>
      </w:pPr>
      <w:r w:rsidRPr="005C635D">
        <w:rPr>
          <w:sz w:val="24"/>
        </w:rPr>
        <w:t xml:space="preserve">8. </w:t>
      </w:r>
      <w:r w:rsidRPr="005C635D">
        <w:rPr>
          <w:sz w:val="24"/>
        </w:rPr>
        <w:tab/>
        <w:t xml:space="preserve">Yuan B, Liu H-Q, Yang Z-R, Chen Y-X, Liu Z-Y, Zhang K, et al. Recurrence of positive SARS-CoV-2 viral RNA in recovered COVID-19 patients during medical isolation observation. Scientific Reports. 2020 Jul 17;10(1):11887. </w:t>
      </w:r>
    </w:p>
    <w:p w:rsidR="005C635D" w:rsidRPr="005C635D" w:rsidRDefault="005C635D" w:rsidP="005C635D">
      <w:pPr>
        <w:pStyle w:val="Kaynaka"/>
        <w:rPr>
          <w:sz w:val="24"/>
        </w:rPr>
      </w:pPr>
      <w:r w:rsidRPr="005C635D">
        <w:rPr>
          <w:sz w:val="24"/>
        </w:rPr>
        <w:t xml:space="preserve">9. </w:t>
      </w:r>
      <w:r w:rsidRPr="005C635D">
        <w:rPr>
          <w:sz w:val="24"/>
        </w:rPr>
        <w:tab/>
        <w:t xml:space="preserve">Shui T-J, Li C, Liu H, Chen X, Zhang B. Characteristics of recovered COVID-19 patients with recurrent positive RT-PCR findings in Wuhan, China: a retrospective study. BMC Infectious Diseases. 2020 Oct 13;20(1):749. </w:t>
      </w:r>
    </w:p>
    <w:p w:rsidR="005C635D" w:rsidRPr="005C635D" w:rsidRDefault="005C635D" w:rsidP="005C635D">
      <w:pPr>
        <w:pStyle w:val="Kaynaka"/>
        <w:rPr>
          <w:sz w:val="24"/>
        </w:rPr>
      </w:pPr>
      <w:r w:rsidRPr="005C635D">
        <w:rPr>
          <w:sz w:val="24"/>
        </w:rPr>
        <w:t xml:space="preserve">10. </w:t>
      </w:r>
      <w:r w:rsidRPr="005C635D">
        <w:rPr>
          <w:sz w:val="24"/>
        </w:rPr>
        <w:tab/>
        <w:t xml:space="preserve">Hoang T. Characteristics of COVID-19 recurrence: a systematic review and meta-analysis [Internet]. Infectious Diseases (except HIV/AIDS); 2020 Sep </w:t>
      </w:r>
      <w:r w:rsidRPr="005C635D">
        <w:rPr>
          <w:sz w:val="24"/>
        </w:rPr>
        <w:lastRenderedPageBreak/>
        <w:t>[cited 2021 Jan 7]. Available from: http://medrxiv.org/lookup/doi/10.1101/2020.09.05.20189134</w:t>
      </w:r>
    </w:p>
    <w:p w:rsidR="005C635D" w:rsidRPr="005C635D" w:rsidRDefault="005C635D" w:rsidP="005C635D">
      <w:pPr>
        <w:pStyle w:val="Kaynaka"/>
        <w:rPr>
          <w:sz w:val="24"/>
        </w:rPr>
      </w:pPr>
      <w:r w:rsidRPr="005C635D">
        <w:rPr>
          <w:sz w:val="24"/>
        </w:rPr>
        <w:t xml:space="preserve">11. </w:t>
      </w:r>
      <w:r w:rsidRPr="005C635D">
        <w:rPr>
          <w:sz w:val="24"/>
        </w:rPr>
        <w:tab/>
        <w:t xml:space="preserve">Woloshin S, Patel N, Kesselheim AS. False Negative Tests for SARS-CoV-2 Infection - Challenges and Implications. N Engl J Med. 2020 Aug 6;383(6):e38. </w:t>
      </w:r>
    </w:p>
    <w:p w:rsidR="005C635D" w:rsidRPr="005C635D" w:rsidRDefault="005C635D" w:rsidP="005C635D">
      <w:pPr>
        <w:pStyle w:val="Kaynaka"/>
        <w:rPr>
          <w:sz w:val="24"/>
        </w:rPr>
      </w:pPr>
      <w:r w:rsidRPr="005C635D">
        <w:rPr>
          <w:sz w:val="24"/>
        </w:rPr>
        <w:t xml:space="preserve">12. </w:t>
      </w:r>
      <w:r w:rsidRPr="005C635D">
        <w:rPr>
          <w:sz w:val="24"/>
        </w:rPr>
        <w:tab/>
        <w:t xml:space="preserve">Tao W, Wang X, Zhang G, Guo M, Ma H, Zhao D, et al. Re-detectable positive SARS-CoV-2 RNA tests in patients who recovered from COVID-19 with intestinal infection. Protein Cell. 2020 Sep 26; </w:t>
      </w:r>
    </w:p>
    <w:p w:rsidR="005C635D" w:rsidRPr="005C635D" w:rsidRDefault="005C635D" w:rsidP="005C635D">
      <w:pPr>
        <w:pStyle w:val="Kaynaka"/>
        <w:rPr>
          <w:sz w:val="24"/>
        </w:rPr>
      </w:pPr>
      <w:r w:rsidRPr="005C635D">
        <w:rPr>
          <w:sz w:val="24"/>
        </w:rPr>
        <w:t xml:space="preserve">13. </w:t>
      </w:r>
      <w:r w:rsidRPr="005C635D">
        <w:rPr>
          <w:sz w:val="24"/>
        </w:rPr>
        <w:tab/>
        <w:t xml:space="preserve">Xiao AT, Tong YX, Zhang S. False negative of RT-PCR and prolonged nucleic acid conversion in COVID-19: Rather than recurrence. J Med Virol. 2020 Oct;92(10):1755–6. </w:t>
      </w:r>
    </w:p>
    <w:p w:rsidR="005C635D" w:rsidRPr="005C635D" w:rsidRDefault="005C635D" w:rsidP="005C635D">
      <w:pPr>
        <w:pStyle w:val="Kaynaka"/>
        <w:rPr>
          <w:sz w:val="24"/>
        </w:rPr>
      </w:pPr>
      <w:r w:rsidRPr="005C635D">
        <w:rPr>
          <w:sz w:val="24"/>
        </w:rPr>
        <w:t xml:space="preserve">14. </w:t>
      </w:r>
      <w:r w:rsidRPr="005C635D">
        <w:rPr>
          <w:sz w:val="24"/>
        </w:rPr>
        <w:tab/>
        <w:t xml:space="preserve">Falahi S, Kenarkoohi A. COVID-19 reinfection: prolonged shedding or true reinfection? New Microbes and New Infections. 2020 Nov 1;38:100812. </w:t>
      </w:r>
    </w:p>
    <w:p w:rsidR="005C635D" w:rsidRPr="005C635D" w:rsidRDefault="005C635D" w:rsidP="005C635D">
      <w:pPr>
        <w:pStyle w:val="Kaynaka"/>
        <w:rPr>
          <w:sz w:val="24"/>
        </w:rPr>
      </w:pPr>
      <w:r w:rsidRPr="005C635D">
        <w:rPr>
          <w:sz w:val="24"/>
        </w:rPr>
        <w:t xml:space="preserve">15. </w:t>
      </w:r>
      <w:r w:rsidRPr="005C635D">
        <w:rPr>
          <w:sz w:val="24"/>
        </w:rPr>
        <w:tab/>
        <w:t>Cevik M, Tate M, Lloyd O, Maraolo AE, Schafers J, Ho A. SARS-CoV-2, SARS-CoV-1 and MERS-CoV Viral Load Dynamics, Duration of Viral Shedding and Infectiousness: A Living Systematic Review and Meta-Analysis [Internet]. Rochester, NY: Social Science Research Network; 2020 Oct [cited 2021 Jan 11]. Report No.: ID 3677918. Available from: https://papers.ssrn.com/abstract=3677918</w:t>
      </w:r>
    </w:p>
    <w:p w:rsidR="005C635D" w:rsidRPr="005C635D" w:rsidRDefault="005C635D" w:rsidP="005C635D">
      <w:pPr>
        <w:pStyle w:val="Kaynaka"/>
        <w:rPr>
          <w:sz w:val="24"/>
        </w:rPr>
      </w:pPr>
      <w:r w:rsidRPr="005C635D">
        <w:rPr>
          <w:sz w:val="24"/>
        </w:rPr>
        <w:t xml:space="preserve">16. </w:t>
      </w:r>
      <w:r w:rsidRPr="005C635D">
        <w:rPr>
          <w:sz w:val="24"/>
        </w:rPr>
        <w:tab/>
        <w:t xml:space="preserve">Gidari A, Nofri M, Saccarelli L, Bastianelli S, Sabbatini S, Bozza S, et al. Is recurrence possible in coronavirus disease 2019 (COVID-19)? Case series and systematic review of literature. Eur J Clin Microbiol Infect Dis. 2021 Jan;40(1):1–12. </w:t>
      </w:r>
    </w:p>
    <w:p w:rsidR="00AD6F56" w:rsidRPr="004F4794" w:rsidRDefault="005C635D" w:rsidP="004F4794">
      <w:pPr>
        <w:pStyle w:val="GvdeMetni"/>
        <w:spacing w:before="89"/>
        <w:ind w:left="0" w:right="89" w:firstLine="426"/>
      </w:pPr>
      <w:r>
        <w:fldChar w:fldCharType="end"/>
      </w:r>
      <w:bookmarkStart w:id="0" w:name="_GoBack"/>
      <w:bookmarkEnd w:id="0"/>
    </w:p>
    <w:sectPr w:rsidR="00AD6F56" w:rsidRPr="004F4794" w:rsidSect="0058179D">
      <w:type w:val="continuous"/>
      <w:pgSz w:w="11906" w:h="16838"/>
      <w:pgMar w:top="1440" w:right="1077" w:bottom="1440" w:left="1077" w:header="710" w:footer="276" w:gutter="0"/>
      <w:cols w:num="2" w:space="99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4DC" w:rsidRDefault="00C234DC">
      <w:r>
        <w:separator/>
      </w:r>
    </w:p>
  </w:endnote>
  <w:endnote w:type="continuationSeparator" w:id="0">
    <w:p w:rsidR="00C234DC" w:rsidRDefault="00C2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91" w:rsidRDefault="006A7E9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703622"/>
      <w:docPartObj>
        <w:docPartGallery w:val="Page Numbers (Bottom of Page)"/>
        <w:docPartUnique/>
      </w:docPartObj>
    </w:sdtPr>
    <w:sdtEndPr>
      <w:rPr>
        <w:noProof/>
      </w:rPr>
    </w:sdtEndPr>
    <w:sdtContent>
      <w:p w:rsidR="006A7E91" w:rsidRPr="008C1544" w:rsidRDefault="006A7E91" w:rsidP="006A7E91">
        <w:pPr>
          <w:pStyle w:val="AltBilgi"/>
        </w:pPr>
      </w:p>
      <w:p w:rsidR="006A7E91" w:rsidRDefault="006A7E91" w:rsidP="006A7E91">
        <w:pPr>
          <w:pStyle w:val="AltBilgi"/>
        </w:pPr>
      </w:p>
      <w:p w:rsidR="006A7E91" w:rsidRDefault="006A7E91" w:rsidP="006A7E91">
        <w:pPr>
          <w:pStyle w:val="AltBilgi"/>
          <w:rPr>
            <w:noProof/>
          </w:rPr>
        </w:pPr>
        <w:r w:rsidRPr="008C1544">
          <w:t>Vol. 14 No 1 2020</w:t>
        </w:r>
        <w:r w:rsidRPr="008C1544">
          <w:rPr>
            <w:shd w:val="clear" w:color="auto" w:fill="FFFFFF"/>
          </w:rPr>
          <w:t xml:space="preserve"> DOI: </w:t>
        </w:r>
        <w:r w:rsidRPr="008C1544">
          <w:rPr>
            <w:rStyle w:val="Kpr"/>
            <w:color w:val="auto"/>
            <w:u w:val="none"/>
            <w:shd w:val="clear" w:color="auto" w:fill="FFFFFF"/>
          </w:rPr>
          <w:t xml:space="preserve">                                 </w:t>
        </w:r>
        <w:r>
          <w:rPr>
            <w:rStyle w:val="Kpr"/>
            <w:color w:val="auto"/>
            <w:u w:val="none"/>
            <w:shd w:val="clear" w:color="auto" w:fill="FFFFFF"/>
          </w:rPr>
          <w:t xml:space="preserve">                                                                         </w:t>
        </w:r>
        <w:r w:rsidRPr="008C1544">
          <w:rPr>
            <w:rStyle w:val="Kpr"/>
            <w:color w:val="auto"/>
            <w:u w:val="none"/>
            <w:shd w:val="clear" w:color="auto" w:fill="FFFFFF"/>
          </w:rPr>
          <w:t xml:space="preserve">                             </w:t>
        </w:r>
        <w:r>
          <w:fldChar w:fldCharType="begin"/>
        </w:r>
        <w:r>
          <w:instrText xml:space="preserve"> PAGE   \* MERGEFORMAT </w:instrText>
        </w:r>
        <w:r>
          <w:fldChar w:fldCharType="separate"/>
        </w:r>
        <w:r w:rsidR="005C635D">
          <w:rPr>
            <w:noProof/>
          </w:rPr>
          <w:t>6</w:t>
        </w:r>
        <w:r>
          <w:rPr>
            <w:noProof/>
          </w:rPr>
          <w:fldChar w:fldCharType="end"/>
        </w:r>
      </w:p>
    </w:sdtContent>
  </w:sdt>
  <w:p w:rsidR="006A7E91" w:rsidRDefault="006A7E9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91" w:rsidRDefault="006A7E9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4DC" w:rsidRDefault="00C234DC">
      <w:r>
        <w:separator/>
      </w:r>
    </w:p>
  </w:footnote>
  <w:footnote w:type="continuationSeparator" w:id="0">
    <w:p w:rsidR="00C234DC" w:rsidRDefault="00C234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91" w:rsidRDefault="006A7E9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AE" w:rsidRPr="00054A4E" w:rsidRDefault="004B2AAE" w:rsidP="004B2AAE">
    <w:pPr>
      <w:rPr>
        <w:color w:val="000000"/>
        <w:sz w:val="20"/>
      </w:rPr>
    </w:pPr>
    <w:r>
      <w:rPr>
        <w:color w:val="000000"/>
        <w:sz w:val="20"/>
      </w:rPr>
      <w:t xml:space="preserve">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w:t>
    </w:r>
    <w:r w:rsidRPr="00DA26EB">
      <w:rPr>
        <w:color w:val="000000"/>
        <w:sz w:val="20"/>
      </w:rPr>
      <w:t xml:space="preserve">Jurnal Profesi Medika : Jurnal Kedokteran dan </w:t>
    </w:r>
    <w:r>
      <w:rPr>
        <w:color w:val="000000"/>
        <w:sz w:val="20"/>
      </w:rPr>
      <w:t xml:space="preserve">                            </w:t>
    </w:r>
    <w:r w:rsidRPr="00DA26EB">
      <w:rPr>
        <w:color w:val="000000"/>
        <w:sz w:val="20"/>
      </w:rPr>
      <w:t>ISSN 0216-3438</w:t>
    </w:r>
    <w:r w:rsidRPr="00DA26EB">
      <w:rPr>
        <w:color w:val="000000"/>
        <w:sz w:val="20"/>
        <w:lang w:val="en-US"/>
      </w:rPr>
      <w:t xml:space="preserve"> (Print)</w:t>
    </w:r>
    <w:r w:rsidRPr="00DA26EB">
      <w:rPr>
        <w:color w:val="000000"/>
        <w:sz w:val="20"/>
      </w:rPr>
      <w:t xml:space="preserve">. </w:t>
    </w:r>
    <w:r w:rsidRPr="00DA26EB">
      <w:rPr>
        <w:color w:val="000000"/>
        <w:sz w:val="20"/>
        <w:lang w:val="en-US"/>
      </w:rPr>
      <w:t xml:space="preserve">ISSN </w:t>
    </w:r>
    <w:r w:rsidRPr="00DA26EB">
      <w:rPr>
        <w:color w:val="000000"/>
        <w:sz w:val="20"/>
      </w:rPr>
      <w:t>2621-1122</w:t>
    </w:r>
    <w:r w:rsidRPr="00DA26EB">
      <w:rPr>
        <w:color w:val="000000"/>
        <w:sz w:val="20"/>
        <w:lang w:val="en-US"/>
      </w:rPr>
      <w:t xml:space="preserve"> (Online)</w:t>
    </w:r>
    <w:r>
      <w:rPr>
        <w:color w:val="000000"/>
        <w:sz w:val="20"/>
      </w:rPr>
      <w:t xml:space="preserve">                                                                                               </w:t>
    </w:r>
    <w:r w:rsidRPr="00DA26EB">
      <w:rPr>
        <w:color w:val="000000"/>
        <w:sz w:val="20"/>
      </w:rPr>
      <w:t>Kesehatan</w:t>
    </w:r>
  </w:p>
  <w:p w:rsidR="004B2AAE" w:rsidRDefault="004B2AA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91" w:rsidRDefault="006A7E9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56"/>
    <w:rsid w:val="0045105C"/>
    <w:rsid w:val="004A31D0"/>
    <w:rsid w:val="004B2AAE"/>
    <w:rsid w:val="004F4794"/>
    <w:rsid w:val="00534F1E"/>
    <w:rsid w:val="0058179D"/>
    <w:rsid w:val="00596417"/>
    <w:rsid w:val="005C635D"/>
    <w:rsid w:val="00602DB5"/>
    <w:rsid w:val="00612D1D"/>
    <w:rsid w:val="00671B26"/>
    <w:rsid w:val="006A7E91"/>
    <w:rsid w:val="008830CC"/>
    <w:rsid w:val="00891745"/>
    <w:rsid w:val="009267F5"/>
    <w:rsid w:val="00961382"/>
    <w:rsid w:val="009A4942"/>
    <w:rsid w:val="00A449BD"/>
    <w:rsid w:val="00AD6F56"/>
    <w:rsid w:val="00AE5F39"/>
    <w:rsid w:val="00B27FAB"/>
    <w:rsid w:val="00BF7A81"/>
    <w:rsid w:val="00C234DC"/>
    <w:rsid w:val="00CA3081"/>
    <w:rsid w:val="00DF2A46"/>
    <w:rsid w:val="00E03157"/>
    <w:rsid w:val="00E3045B"/>
    <w:rsid w:val="00E5363A"/>
    <w:rsid w:val="00FB4B0B"/>
  </w:rsids>
  <m:mathPr>
    <m:mathFont m:val="Cambria Math"/>
    <m:brkBin m:val="before"/>
    <m:brkBinSub m:val="--"/>
    <m:smallFrac m:val="0"/>
    <m:dispDef/>
    <m:lMargin m:val="0"/>
    <m:rMargin m:val="0"/>
    <m:defJc m:val="centerGroup"/>
    <m:wrapIndent m:val="1440"/>
    <m:intLim m:val="subSup"/>
    <m:naryLim m:val="undOvr"/>
  </m:mathPr>
  <w:themeFontLang w:val="id-ID"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0022"/>
  <w15:docId w15:val="{FDCF240D-52D2-4002-ACD6-F0A41F4A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2C70"/>
    <w:rPr>
      <w:rFonts w:ascii="Times New Roman" w:eastAsia="Times New Roman" w:hAnsi="Times New Roman" w:cs="Times New Roman"/>
      <w:lang w:val="en-GB" w:eastAsia="en-GB" w:bidi="en-GB"/>
    </w:rPr>
  </w:style>
  <w:style w:type="paragraph" w:styleId="Balk1">
    <w:name w:val="heading 1"/>
    <w:basedOn w:val="Normal"/>
    <w:uiPriority w:val="1"/>
    <w:qFormat/>
    <w:rsid w:val="00FE2C70"/>
    <w:pPr>
      <w:ind w:left="100"/>
      <w:outlineLvl w:val="0"/>
    </w:pPr>
    <w:rPr>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qFormat/>
    <w:rsid w:val="00A17C5A"/>
    <w:rPr>
      <w:rFonts w:ascii="Times New Roman" w:eastAsia="Times New Roman" w:hAnsi="Times New Roman" w:cs="Times New Roman"/>
      <w:lang w:val="en-GB" w:eastAsia="en-GB" w:bidi="en-GB"/>
    </w:rPr>
  </w:style>
  <w:style w:type="character" w:customStyle="1" w:styleId="AltBilgiChar">
    <w:name w:val="Alt Bilgi Char"/>
    <w:basedOn w:val="VarsaylanParagrafYazTipi"/>
    <w:link w:val="AltBilgi"/>
    <w:uiPriority w:val="99"/>
    <w:qFormat/>
    <w:rsid w:val="00A17C5A"/>
    <w:rPr>
      <w:rFonts w:ascii="Times New Roman" w:eastAsia="Times New Roman" w:hAnsi="Times New Roman" w:cs="Times New Roman"/>
      <w:lang w:val="en-GB" w:eastAsia="en-GB" w:bidi="en-GB"/>
    </w:rPr>
  </w:style>
  <w:style w:type="character" w:customStyle="1" w:styleId="BalonMetniChar">
    <w:name w:val="Balon Metni Char"/>
    <w:basedOn w:val="VarsaylanParagrafYazTipi"/>
    <w:link w:val="BalonMetni"/>
    <w:uiPriority w:val="99"/>
    <w:semiHidden/>
    <w:qFormat/>
    <w:rsid w:val="00A17C5A"/>
    <w:rPr>
      <w:rFonts w:ascii="Tahoma" w:eastAsia="Times New Roman" w:hAnsi="Tahoma" w:cs="Tahoma"/>
      <w:sz w:val="16"/>
      <w:szCs w:val="16"/>
      <w:lang w:val="en-GB" w:eastAsia="en-GB" w:bidi="en-GB"/>
    </w:rPr>
  </w:style>
  <w:style w:type="character" w:customStyle="1" w:styleId="ListLabel1">
    <w:name w:val="ListLabel 1"/>
    <w:qFormat/>
    <w:rPr>
      <w:rFonts w:eastAsia="Times New Roman" w:cs="Times New Roman"/>
      <w:spacing w:val="-25"/>
      <w:w w:val="99"/>
      <w:sz w:val="24"/>
      <w:szCs w:val="24"/>
      <w:lang w:val="en-GB" w:eastAsia="en-GB" w:bidi="en-GB"/>
    </w:rPr>
  </w:style>
  <w:style w:type="character" w:customStyle="1" w:styleId="ListLabel2">
    <w:name w:val="ListLabel 2"/>
    <w:qFormat/>
    <w:rPr>
      <w:lang w:val="en-GB" w:eastAsia="en-GB" w:bidi="en-GB"/>
    </w:rPr>
  </w:style>
  <w:style w:type="character" w:customStyle="1" w:styleId="ListLabel3">
    <w:name w:val="ListLabel 3"/>
    <w:qFormat/>
    <w:rPr>
      <w:lang w:val="en-GB" w:eastAsia="en-GB" w:bidi="en-GB"/>
    </w:rPr>
  </w:style>
  <w:style w:type="character" w:customStyle="1" w:styleId="ListLabel4">
    <w:name w:val="ListLabel 4"/>
    <w:qFormat/>
    <w:rPr>
      <w:lang w:val="en-GB" w:eastAsia="en-GB" w:bidi="en-GB"/>
    </w:rPr>
  </w:style>
  <w:style w:type="character" w:customStyle="1" w:styleId="ListLabel5">
    <w:name w:val="ListLabel 5"/>
    <w:qFormat/>
    <w:rPr>
      <w:lang w:val="en-GB" w:eastAsia="en-GB" w:bidi="en-GB"/>
    </w:rPr>
  </w:style>
  <w:style w:type="character" w:customStyle="1" w:styleId="ListLabel6">
    <w:name w:val="ListLabel 6"/>
    <w:qFormat/>
    <w:rPr>
      <w:lang w:val="en-GB" w:eastAsia="en-GB" w:bidi="en-GB"/>
    </w:rPr>
  </w:style>
  <w:style w:type="character" w:customStyle="1" w:styleId="ListLabel7">
    <w:name w:val="ListLabel 7"/>
    <w:qFormat/>
    <w:rPr>
      <w:lang w:val="en-GB" w:eastAsia="en-GB" w:bidi="en-GB"/>
    </w:rPr>
  </w:style>
  <w:style w:type="character" w:customStyle="1" w:styleId="ListLabel8">
    <w:name w:val="ListLabel 8"/>
    <w:qFormat/>
    <w:rPr>
      <w:lang w:val="en-GB" w:eastAsia="en-GB" w:bidi="en-GB"/>
    </w:rPr>
  </w:style>
  <w:style w:type="character" w:customStyle="1" w:styleId="ListLabel9">
    <w:name w:val="ListLabel 9"/>
    <w:qFormat/>
    <w:rPr>
      <w:lang w:val="en-GB" w:eastAsia="en-GB" w:bidi="en-GB"/>
    </w:rPr>
  </w:style>
  <w:style w:type="character" w:customStyle="1" w:styleId="ListLabel10">
    <w:name w:val="ListLabel 10"/>
    <w:qFormat/>
    <w:rPr>
      <w:rFonts w:eastAsia="Times New Roman" w:cs="Times New Roman"/>
      <w:spacing w:val="-6"/>
      <w:w w:val="99"/>
      <w:sz w:val="24"/>
      <w:szCs w:val="24"/>
      <w:lang w:val="en-GB" w:eastAsia="en-GB" w:bidi="en-GB"/>
    </w:rPr>
  </w:style>
  <w:style w:type="character" w:customStyle="1" w:styleId="ListLabel11">
    <w:name w:val="ListLabel 11"/>
    <w:qFormat/>
    <w:rPr>
      <w:lang w:val="en-GB" w:eastAsia="en-GB" w:bidi="en-GB"/>
    </w:rPr>
  </w:style>
  <w:style w:type="character" w:customStyle="1" w:styleId="ListLabel12">
    <w:name w:val="ListLabel 12"/>
    <w:qFormat/>
    <w:rPr>
      <w:lang w:val="en-GB" w:eastAsia="en-GB" w:bidi="en-GB"/>
    </w:rPr>
  </w:style>
  <w:style w:type="character" w:customStyle="1" w:styleId="ListLabel13">
    <w:name w:val="ListLabel 13"/>
    <w:qFormat/>
    <w:rPr>
      <w:lang w:val="en-GB" w:eastAsia="en-GB" w:bidi="en-GB"/>
    </w:rPr>
  </w:style>
  <w:style w:type="character" w:customStyle="1" w:styleId="ListLabel14">
    <w:name w:val="ListLabel 14"/>
    <w:qFormat/>
    <w:rPr>
      <w:lang w:val="en-GB" w:eastAsia="en-GB" w:bidi="en-GB"/>
    </w:rPr>
  </w:style>
  <w:style w:type="character" w:customStyle="1" w:styleId="ListLabel15">
    <w:name w:val="ListLabel 15"/>
    <w:qFormat/>
    <w:rPr>
      <w:lang w:val="en-GB" w:eastAsia="en-GB" w:bidi="en-GB"/>
    </w:rPr>
  </w:style>
  <w:style w:type="character" w:customStyle="1" w:styleId="ListLabel16">
    <w:name w:val="ListLabel 16"/>
    <w:qFormat/>
    <w:rPr>
      <w:lang w:val="en-GB" w:eastAsia="en-GB" w:bidi="en-GB"/>
    </w:rPr>
  </w:style>
  <w:style w:type="character" w:customStyle="1" w:styleId="ListLabel17">
    <w:name w:val="ListLabel 17"/>
    <w:qFormat/>
    <w:rPr>
      <w:lang w:val="en-GB" w:eastAsia="en-GB" w:bidi="en-GB"/>
    </w:rPr>
  </w:style>
  <w:style w:type="character" w:customStyle="1" w:styleId="ListLabel18">
    <w:name w:val="ListLabel 18"/>
    <w:qFormat/>
    <w:rPr>
      <w:lang w:val="en-GB" w:eastAsia="en-GB" w:bidi="en-GB"/>
    </w:rPr>
  </w:style>
  <w:style w:type="character" w:customStyle="1" w:styleId="ListLabel19">
    <w:name w:val="ListLabel 19"/>
    <w:qFormat/>
    <w:rPr>
      <w:spacing w:val="-9"/>
      <w:w w:val="99"/>
      <w:lang w:val="en-GB" w:eastAsia="en-GB" w:bidi="en-GB"/>
    </w:rPr>
  </w:style>
  <w:style w:type="character" w:customStyle="1" w:styleId="ListLabel20">
    <w:name w:val="ListLabel 20"/>
    <w:qFormat/>
    <w:rPr>
      <w:lang w:val="en-GB" w:eastAsia="en-GB" w:bidi="en-GB"/>
    </w:rPr>
  </w:style>
  <w:style w:type="character" w:customStyle="1" w:styleId="ListLabel21">
    <w:name w:val="ListLabel 21"/>
    <w:qFormat/>
    <w:rPr>
      <w:lang w:val="en-GB" w:eastAsia="en-GB" w:bidi="en-GB"/>
    </w:rPr>
  </w:style>
  <w:style w:type="character" w:customStyle="1" w:styleId="ListLabel22">
    <w:name w:val="ListLabel 22"/>
    <w:qFormat/>
    <w:rPr>
      <w:lang w:val="en-GB" w:eastAsia="en-GB" w:bidi="en-GB"/>
    </w:rPr>
  </w:style>
  <w:style w:type="character" w:customStyle="1" w:styleId="ListLabel23">
    <w:name w:val="ListLabel 23"/>
    <w:qFormat/>
    <w:rPr>
      <w:lang w:val="en-GB" w:eastAsia="en-GB" w:bidi="en-GB"/>
    </w:rPr>
  </w:style>
  <w:style w:type="character" w:customStyle="1" w:styleId="ListLabel24">
    <w:name w:val="ListLabel 24"/>
    <w:qFormat/>
    <w:rPr>
      <w:lang w:val="en-GB" w:eastAsia="en-GB" w:bidi="en-GB"/>
    </w:rPr>
  </w:style>
  <w:style w:type="character" w:customStyle="1" w:styleId="ListLabel25">
    <w:name w:val="ListLabel 25"/>
    <w:qFormat/>
    <w:rPr>
      <w:lang w:val="en-GB" w:eastAsia="en-GB" w:bidi="en-GB"/>
    </w:rPr>
  </w:style>
  <w:style w:type="character" w:customStyle="1" w:styleId="ListLabel26">
    <w:name w:val="ListLabel 26"/>
    <w:qFormat/>
    <w:rPr>
      <w:lang w:val="en-GB" w:eastAsia="en-GB" w:bidi="en-GB"/>
    </w:rPr>
  </w:style>
  <w:style w:type="character" w:customStyle="1" w:styleId="ListLabel27">
    <w:name w:val="ListLabel 27"/>
    <w:qFormat/>
    <w:rPr>
      <w:lang w:val="en-GB" w:eastAsia="en-GB" w:bidi="en-GB"/>
    </w:rPr>
  </w:style>
  <w:style w:type="character" w:customStyle="1" w:styleId="InternetLink">
    <w:name w:val="Internet Link"/>
    <w:rPr>
      <w:color w:val="000080"/>
      <w:u w:val="single"/>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uiPriority w:val="1"/>
    <w:qFormat/>
    <w:rsid w:val="00FE2C70"/>
    <w:pPr>
      <w:ind w:left="100"/>
      <w:jc w:val="both"/>
    </w:pPr>
    <w:rPr>
      <w:sz w:val="24"/>
      <w:szCs w:val="24"/>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eParagraf">
    <w:name w:val="List Paragraph"/>
    <w:basedOn w:val="Normal"/>
    <w:uiPriority w:val="1"/>
    <w:qFormat/>
    <w:rsid w:val="00FE2C70"/>
    <w:pPr>
      <w:ind w:left="527" w:right="38" w:hanging="427"/>
      <w:jc w:val="both"/>
    </w:pPr>
  </w:style>
  <w:style w:type="paragraph" w:customStyle="1" w:styleId="TableParagraph">
    <w:name w:val="Table Paragraph"/>
    <w:basedOn w:val="Normal"/>
    <w:uiPriority w:val="1"/>
    <w:qFormat/>
    <w:rsid w:val="00FE2C70"/>
    <w:pPr>
      <w:spacing w:line="256" w:lineRule="exact"/>
      <w:ind w:left="633"/>
    </w:pPr>
  </w:style>
  <w:style w:type="paragraph" w:styleId="stBilgi">
    <w:name w:val="header"/>
    <w:basedOn w:val="Normal"/>
    <w:link w:val="stBilgiChar"/>
    <w:uiPriority w:val="99"/>
    <w:unhideWhenUsed/>
    <w:rsid w:val="00A17C5A"/>
    <w:pPr>
      <w:tabs>
        <w:tab w:val="center" w:pos="4513"/>
        <w:tab w:val="right" w:pos="9026"/>
      </w:tabs>
    </w:pPr>
  </w:style>
  <w:style w:type="paragraph" w:styleId="AltBilgi">
    <w:name w:val="footer"/>
    <w:basedOn w:val="Normal"/>
    <w:link w:val="AltBilgiChar"/>
    <w:uiPriority w:val="99"/>
    <w:unhideWhenUsed/>
    <w:rsid w:val="00A17C5A"/>
    <w:pPr>
      <w:tabs>
        <w:tab w:val="center" w:pos="4513"/>
        <w:tab w:val="right" w:pos="9026"/>
      </w:tabs>
    </w:pPr>
  </w:style>
  <w:style w:type="paragraph" w:styleId="BalonMetni">
    <w:name w:val="Balloon Text"/>
    <w:basedOn w:val="Normal"/>
    <w:link w:val="BalonMetniChar"/>
    <w:uiPriority w:val="99"/>
    <w:semiHidden/>
    <w:unhideWhenUsed/>
    <w:qFormat/>
    <w:rsid w:val="00A17C5A"/>
    <w:rPr>
      <w:rFonts w:ascii="Tahoma" w:hAnsi="Tahoma" w:cs="Tahoma"/>
      <w:sz w:val="16"/>
      <w:szCs w:val="16"/>
    </w:rPr>
  </w:style>
  <w:style w:type="paragraph" w:customStyle="1" w:styleId="Default">
    <w:name w:val="Default"/>
    <w:qFormat/>
    <w:rsid w:val="00CF3F1C"/>
    <w:rPr>
      <w:rFonts w:ascii="Times New Roman" w:eastAsia="Calibri" w:hAnsi="Times New Roman" w:cs="Times New Roman"/>
      <w:color w:val="000000"/>
      <w:sz w:val="24"/>
      <w:szCs w:val="24"/>
      <w:lang w:val="id-ID"/>
    </w:rPr>
  </w:style>
  <w:style w:type="paragraph" w:customStyle="1" w:styleId="FrameContents">
    <w:name w:val="Frame Contents"/>
    <w:basedOn w:val="Normal"/>
    <w:qFormat/>
  </w:style>
  <w:style w:type="table" w:customStyle="1" w:styleId="PlainTable41">
    <w:name w:val="Plain Table 41"/>
    <w:basedOn w:val="NormalTablo"/>
    <w:uiPriority w:val="44"/>
    <w:rsid w:val="00CF3F1C"/>
    <w:rPr>
      <w:rFonts w:eastAsiaTheme="minorEastAsia"/>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basedOn w:val="VarsaylanParagrafYazTipi"/>
    <w:uiPriority w:val="99"/>
    <w:unhideWhenUsed/>
    <w:rsid w:val="006A7E91"/>
    <w:rPr>
      <w:color w:val="0000FF" w:themeColor="hyperlink"/>
      <w:u w:val="single"/>
    </w:rPr>
  </w:style>
  <w:style w:type="paragraph" w:styleId="Kaynaka">
    <w:name w:val="Bibliography"/>
    <w:basedOn w:val="Normal"/>
    <w:next w:val="Normal"/>
    <w:uiPriority w:val="37"/>
    <w:unhideWhenUsed/>
    <w:rsid w:val="005C635D"/>
    <w:pPr>
      <w:tabs>
        <w:tab w:val="left" w:pos="504"/>
      </w:tabs>
      <w:spacing w:after="240"/>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306E-E669-45DA-91A9-C6AF20FA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7464</Words>
  <Characters>42546</Characters>
  <Application>Microsoft Office Word</Application>
  <DocSecurity>0</DocSecurity>
  <Lines>354</Lines>
  <Paragraphs>99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Pramono</dc:creator>
  <dc:description/>
  <cp:lastModifiedBy>RİZEVİ</cp:lastModifiedBy>
  <cp:revision>16</cp:revision>
  <dcterms:created xsi:type="dcterms:W3CDTF">2020-06-24T12:10:00Z</dcterms:created>
  <dcterms:modified xsi:type="dcterms:W3CDTF">2021-01-20T17:13:00Z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2018-03-23T00:00:00Z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2019-04-04T00:00:00Z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ZOTERO_PREF_1">
    <vt:lpwstr>&lt;data data-version="3" zotero-version="5.0.95"&gt;&lt;session id="yPlp9n83"/&gt;&lt;style id="http://www.zotero.org/styles/vancouver" locale="en-US" hasBibliography="1" bibliographyStyleHasBeenSet="1"/&gt;&lt;prefs&gt;&lt;pref name="fieldType" value="Field"/&gt;&lt;/prefs&gt;&lt;/data&gt;</vt:lpwstr>
  </property>
</Properties>
</file>