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56" w:rsidRDefault="008830CC">
      <w:pPr>
        <w:pStyle w:val="GvdeMetni"/>
        <w:spacing w:line="20" w:lineRule="exact"/>
        <w:ind w:left="96"/>
        <w:jc w:val="left"/>
        <w:rPr>
          <w:sz w:val="2"/>
        </w:rPr>
      </w:pPr>
      <w:r w:rsidRPr="00EE4897">
        <w:rPr>
          <w:b/>
          <w:bCs/>
          <w:noProof/>
          <w:lang w:val="tr-TR" w:eastAsia="tr-TR" w:bidi="ar-SA"/>
        </w:rPr>
        <mc:AlternateContent>
          <mc:Choice Requires="wps">
            <w:drawing>
              <wp:anchor distT="0" distB="0" distL="114300" distR="114300" simplePos="0" relativeHeight="251659264" behindDoc="0" locked="0" layoutInCell="1" allowOverlap="1" wp14:anchorId="135294A9" wp14:editId="621DE0F9">
                <wp:simplePos x="0" y="0"/>
                <wp:positionH relativeFrom="margin">
                  <wp:posOffset>0</wp:posOffset>
                </wp:positionH>
                <wp:positionV relativeFrom="paragraph">
                  <wp:posOffset>-70485</wp:posOffset>
                </wp:positionV>
                <wp:extent cx="6172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8FE52" id="Straight Connector 6"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55pt" to="48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" strokecolor="black [3040]" strokeweight="1.5pt">
                <w10:wrap anchorx="margin"/>
              </v:line>
            </w:pict>
          </mc:Fallback>
        </mc:AlternateContent>
      </w:r>
    </w:p>
    <w:p w:rsidR="00CA3081" w:rsidRDefault="00CA3081" w:rsidP="00E3045B">
      <w:pPr>
        <w:spacing w:before="126" w:line="233" w:lineRule="exact"/>
        <w:jc w:val="center"/>
        <w:rPr>
          <w:b/>
          <w:color w:val="000000"/>
          <w:sz w:val="24"/>
          <w:szCs w:val="24"/>
        </w:rPr>
      </w:pPr>
      <w:r w:rsidRPr="00CA3081">
        <w:rPr>
          <w:b/>
          <w:color w:val="000000"/>
          <w:sz w:val="24"/>
          <w:szCs w:val="24"/>
        </w:rPr>
        <w:t>Analysis of Recurrent Positive COVID-19 Patients in A Hospital</w:t>
      </w:r>
    </w:p>
    <w:p w:rsidR="00CA3081" w:rsidRPr="00CA3081" w:rsidRDefault="00CA3081" w:rsidP="00CA3081">
      <w:pPr>
        <w:spacing w:line="233" w:lineRule="exact"/>
        <w:jc w:val="center"/>
        <w:rPr>
          <w:b/>
          <w:vertAlign w:val="superscript"/>
          <w:lang w:val="en-US"/>
        </w:rPr>
      </w:pPr>
      <w:r w:rsidRPr="00CA3081">
        <w:rPr>
          <w:b/>
          <w:bCs/>
          <w:lang w:val="en-US"/>
        </w:rPr>
        <w:t>Ensar Durmus</w:t>
      </w:r>
      <w:r w:rsidRPr="00CA3081">
        <w:rPr>
          <w:b/>
          <w:bCs/>
          <w:vertAlign w:val="superscript"/>
          <w:lang w:val="en-US"/>
        </w:rPr>
        <w:t>1*</w:t>
      </w:r>
      <w:r w:rsidRPr="00CA3081">
        <w:rPr>
          <w:b/>
          <w:bCs/>
          <w:lang w:val="en-US"/>
        </w:rPr>
        <w:t>, Fatih Guneysu</w:t>
      </w:r>
      <w:r w:rsidRPr="00CA3081">
        <w:rPr>
          <w:b/>
          <w:bCs/>
          <w:vertAlign w:val="superscript"/>
          <w:lang w:val="en-US"/>
        </w:rPr>
        <w:t>1</w:t>
      </w:r>
    </w:p>
    <w:p w:rsidR="00CA3081" w:rsidRPr="00CA3081" w:rsidRDefault="00CA3081" w:rsidP="00CA3081">
      <w:pPr>
        <w:spacing w:line="233" w:lineRule="exact"/>
        <w:jc w:val="center"/>
        <w:rPr>
          <w:b/>
          <w:vertAlign w:val="superscript"/>
          <w:lang w:val="en-US"/>
        </w:rPr>
      </w:pPr>
      <w:r w:rsidRPr="00CA3081">
        <w:rPr>
          <w:b/>
          <w:vertAlign w:val="superscript"/>
          <w:lang w:val="en-US"/>
        </w:rPr>
        <w:t> </w:t>
      </w:r>
    </w:p>
    <w:p w:rsidR="00CA3081" w:rsidRPr="00CA3081" w:rsidRDefault="00CA3081" w:rsidP="00CA3081">
      <w:pPr>
        <w:spacing w:line="233" w:lineRule="exact"/>
        <w:jc w:val="center"/>
        <w:rPr>
          <w:b/>
          <w:lang w:val="id-ID"/>
        </w:rPr>
      </w:pPr>
      <w:r w:rsidRPr="00CA3081">
        <w:rPr>
          <w:b/>
          <w:vertAlign w:val="superscript"/>
          <w:lang w:val="en-US"/>
        </w:rPr>
        <w:t>1</w:t>
      </w:r>
      <w:r w:rsidRPr="00CA3081">
        <w:rPr>
          <w:b/>
          <w:lang w:val="en-US"/>
        </w:rPr>
        <w:t>Emergency Department of Sakarya University Training and Research Hospital,Turkey</w:t>
      </w:r>
    </w:p>
    <w:p w:rsidR="00CA3081" w:rsidRPr="00CA3081" w:rsidRDefault="00CA3081" w:rsidP="00CA3081">
      <w:pPr>
        <w:spacing w:line="233" w:lineRule="exact"/>
        <w:jc w:val="center"/>
        <w:rPr>
          <w:b/>
          <w:lang w:val="en-US"/>
        </w:rPr>
      </w:pPr>
      <w:r w:rsidRPr="00CA3081">
        <w:rPr>
          <w:b/>
          <w:lang w:val="en-US"/>
        </w:rPr>
        <w:t>*</w:t>
      </w:r>
      <w:r>
        <w:rPr>
          <w:b/>
          <w:lang w:val="en-US"/>
        </w:rPr>
        <w:t>Correspondence e</w:t>
      </w:r>
      <w:r w:rsidRPr="00CA3081">
        <w:rPr>
          <w:b/>
          <w:lang w:val="en-US"/>
        </w:rPr>
        <w:t>mail : ensar.durmus@saglik.gov.tr</w:t>
      </w:r>
    </w:p>
    <w:p w:rsidR="00596417" w:rsidRDefault="00596417" w:rsidP="00596417">
      <w:pPr>
        <w:spacing w:line="233" w:lineRule="exact"/>
        <w:jc w:val="center"/>
        <w:rPr>
          <w:b/>
        </w:rPr>
      </w:pPr>
    </w:p>
    <w:p w:rsidR="00AD6F56" w:rsidRDefault="00AD6F56">
      <w:pPr>
        <w:pStyle w:val="GvdeMetni"/>
        <w:spacing w:before="11"/>
        <w:ind w:left="0"/>
        <w:jc w:val="left"/>
        <w:rPr>
          <w:sz w:val="15"/>
        </w:rPr>
      </w:pPr>
    </w:p>
    <w:p w:rsidR="00AD6F56" w:rsidRDefault="008830CC">
      <w:pPr>
        <w:pStyle w:val="GvdeMetni"/>
        <w:spacing w:before="4"/>
        <w:ind w:left="0"/>
        <w:jc w:val="left"/>
        <w:rPr>
          <w:sz w:val="7"/>
        </w:rPr>
      </w:pPr>
      <w:r w:rsidRPr="00EE4897">
        <w:rPr>
          <w:b/>
          <w:bCs/>
          <w:noProof/>
          <w:lang w:val="tr-TR" w:eastAsia="tr-TR" w:bidi="ar-SA"/>
        </w:rPr>
        <mc:AlternateContent>
          <mc:Choice Requires="wps">
            <w:drawing>
              <wp:anchor distT="0" distB="0" distL="114300" distR="114300" simplePos="0" relativeHeight="251661312" behindDoc="0" locked="0" layoutInCell="1" allowOverlap="1" wp14:anchorId="34808163" wp14:editId="40F07161">
                <wp:simplePos x="0" y="0"/>
                <wp:positionH relativeFrom="margin">
                  <wp:posOffset>0</wp:posOffset>
                </wp:positionH>
                <wp:positionV relativeFrom="paragraph">
                  <wp:posOffset>15240</wp:posOffset>
                </wp:positionV>
                <wp:extent cx="6172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9EE8F7" id="Straight Connector 9"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pt" to="48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" strokecolor="black [3040]" strokeweight="1.5pt">
                <w10:wrap anchorx="margin"/>
              </v:line>
            </w:pict>
          </mc:Fallback>
        </mc:AlternateContent>
      </w:r>
    </w:p>
    <w:p w:rsidR="00AD6F56" w:rsidRDefault="00BF7A81">
      <w:pPr>
        <w:pStyle w:val="Balk1"/>
        <w:spacing w:before="90"/>
        <w:ind w:left="3960"/>
      </w:pPr>
      <w:r>
        <w:t>ABSTRACT</w:t>
      </w:r>
    </w:p>
    <w:p w:rsidR="00AD6F56" w:rsidRDefault="00AD6F56">
      <w:pPr>
        <w:pStyle w:val="GvdeMetni"/>
        <w:spacing w:before="5"/>
        <w:ind w:left="0"/>
        <w:jc w:val="left"/>
        <w:rPr>
          <w:b/>
          <w:sz w:val="20"/>
        </w:rPr>
      </w:pPr>
    </w:p>
    <w:p w:rsidR="00CA3081" w:rsidRPr="00CA3081" w:rsidRDefault="00CA3081" w:rsidP="00CA3081">
      <w:pPr>
        <w:ind w:firstLine="720"/>
        <w:jc w:val="both"/>
        <w:rPr>
          <w:color w:val="000000"/>
          <w:sz w:val="24"/>
          <w:szCs w:val="24"/>
          <w:lang w:val="en-US"/>
        </w:rPr>
      </w:pPr>
      <w:r w:rsidRPr="00CA3081">
        <w:rPr>
          <w:color w:val="000000"/>
          <w:sz w:val="24"/>
          <w:szCs w:val="24"/>
          <w:lang w:val="en-US"/>
        </w:rPr>
        <w:t xml:space="preserve">Backround:The studies about COVID-19 began to show that people who have already had COVID-19 were re-admitted to the hospital due to COVID-19 positivity. </w:t>
      </w:r>
    </w:p>
    <w:p w:rsidR="00CA3081" w:rsidRPr="00CA3081" w:rsidRDefault="00CA3081" w:rsidP="00CA3081">
      <w:pPr>
        <w:ind w:firstLine="720"/>
        <w:jc w:val="both"/>
        <w:rPr>
          <w:color w:val="000000"/>
          <w:sz w:val="24"/>
          <w:szCs w:val="24"/>
          <w:lang w:val="en-US"/>
        </w:rPr>
      </w:pPr>
      <w:r w:rsidRPr="00CA3081">
        <w:rPr>
          <w:color w:val="000000"/>
          <w:sz w:val="24"/>
          <w:szCs w:val="24"/>
          <w:lang w:val="en-US"/>
        </w:rPr>
        <w:t>Objective:This study aims to identify recurrent positive patients and the demographic characteristics of these patients.</w:t>
      </w:r>
    </w:p>
    <w:p w:rsidR="00CA3081" w:rsidRPr="00CA3081" w:rsidRDefault="00CA3081" w:rsidP="00CA3081">
      <w:pPr>
        <w:ind w:firstLine="720"/>
        <w:jc w:val="both"/>
        <w:rPr>
          <w:color w:val="000000"/>
          <w:sz w:val="24"/>
          <w:szCs w:val="24"/>
          <w:lang w:val="en-US"/>
        </w:rPr>
      </w:pPr>
      <w:r w:rsidRPr="00CA3081">
        <w:rPr>
          <w:color w:val="000000"/>
          <w:sz w:val="24"/>
          <w:szCs w:val="24"/>
          <w:lang w:val="en-US"/>
        </w:rPr>
        <w:t>Metod-Results:The number of recurrent COVID-19 positive patients  was 190. Of these patients, 97 (51.1%) were male, the average age was 43.98 years (±16.3), 147 (77.4%) were never hospitalized, Of the hospitalized patients, 28 (65.1%) were male and the average age of the inpatients was 54.67 years (±16.15). Looking at the duration of hospital stay of the inpatients, it was observed that the average was 11.16 days (±8.9). A positive correlation was found between the age of the patients and the duration of their hospital stay (r=0.386). The average time between the two positives was 52.92 days.</w:t>
      </w:r>
    </w:p>
    <w:p w:rsidR="00CA3081" w:rsidRPr="00CA3081" w:rsidRDefault="00CA3081" w:rsidP="00CA3081">
      <w:pPr>
        <w:ind w:firstLine="720"/>
        <w:jc w:val="both"/>
        <w:rPr>
          <w:b/>
          <w:bCs/>
          <w:i/>
          <w:iCs/>
          <w:color w:val="000000"/>
          <w:sz w:val="24"/>
          <w:szCs w:val="24"/>
          <w:lang w:val="en-US"/>
        </w:rPr>
      </w:pPr>
      <w:r w:rsidRPr="00CA3081">
        <w:rPr>
          <w:color w:val="000000"/>
          <w:sz w:val="24"/>
          <w:szCs w:val="24"/>
          <w:lang w:val="en-US"/>
        </w:rPr>
        <w:t>Conclusion:Patients who have a recurrent positive result usually survive the disease with outpatient treatment for their mild illness. Hospitalization rates of male patients were higher than those of females, and the duration of hospital stay was found to increase as the age of the patients increases.</w:t>
      </w:r>
      <w:r w:rsidRPr="00CA3081">
        <w:rPr>
          <w:color w:val="000000"/>
          <w:sz w:val="24"/>
          <w:szCs w:val="24"/>
          <w:lang w:val="id-ID"/>
        </w:rPr>
        <w:t xml:space="preserve"> </w:t>
      </w:r>
    </w:p>
    <w:p w:rsidR="00AD6F56" w:rsidRPr="009267F5" w:rsidRDefault="00CA3081" w:rsidP="00CA3081">
      <w:pPr>
        <w:ind w:firstLine="720"/>
        <w:jc w:val="both"/>
      </w:pPr>
      <w:r>
        <w:rPr>
          <w:color w:val="000000"/>
          <w:sz w:val="24"/>
          <w:szCs w:val="24"/>
        </w:rPr>
        <w:t xml:space="preserve"> </w:t>
      </w:r>
      <w:r w:rsidR="00BF7A81" w:rsidRPr="009267F5">
        <w:rPr>
          <w:b/>
        </w:rPr>
        <w:t>Keywords</w:t>
      </w:r>
      <w:r w:rsidR="00BF7A81" w:rsidRPr="009267F5">
        <w:t xml:space="preserve">:  </w:t>
      </w:r>
      <w:r w:rsidRPr="00CA3081">
        <w:rPr>
          <w:lang w:val="en-US"/>
        </w:rPr>
        <w:t>COVID-19, pandemic, recurrence</w:t>
      </w:r>
      <w:r w:rsidRPr="00CA3081">
        <w:t xml:space="preserve"> </w:t>
      </w:r>
    </w:p>
    <w:p w:rsidR="00AD6F56" w:rsidRDefault="00AD6F56">
      <w:pPr>
        <w:sectPr w:rsidR="00AD6F56" w:rsidSect="006A7E91">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10" w:footer="850" w:gutter="0"/>
          <w:cols w:space="720"/>
          <w:formProt w:val="0"/>
          <w:docGrid w:linePitch="299" w:charSpace="-2049"/>
        </w:sectPr>
      </w:pPr>
    </w:p>
    <w:p w:rsidR="008830CC" w:rsidRDefault="008830CC">
      <w:pPr>
        <w:pStyle w:val="Balk1"/>
        <w:spacing w:before="92"/>
        <w:ind w:left="0"/>
      </w:pPr>
      <w:r w:rsidRPr="00EE4897">
        <w:rPr>
          <w:b w:val="0"/>
          <w:bCs w:val="0"/>
          <w:noProof/>
          <w:lang w:val="tr-TR" w:eastAsia="tr-TR" w:bidi="ar-SA"/>
        </w:rPr>
        <w:lastRenderedPageBreak/>
        <mc:AlternateContent>
          <mc:Choice Requires="wps">
            <w:drawing>
              <wp:anchor distT="0" distB="0" distL="114300" distR="114300" simplePos="0" relativeHeight="251663360" behindDoc="0" locked="0" layoutInCell="1" allowOverlap="1" wp14:anchorId="3A669A72" wp14:editId="0D3FE24E">
                <wp:simplePos x="0" y="0"/>
                <wp:positionH relativeFrom="margin">
                  <wp:posOffset>0</wp:posOffset>
                </wp:positionH>
                <wp:positionV relativeFrom="paragraph">
                  <wp:posOffset>135890</wp:posOffset>
                </wp:positionV>
                <wp:extent cx="6172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44A40A" id="Straight Connector 10"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0.7pt" to="48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" strokecolor="black [3040]" strokeweight="1.5pt">
                <w10:wrap anchorx="margin"/>
              </v:line>
            </w:pict>
          </mc:Fallback>
        </mc:AlternateContent>
      </w:r>
    </w:p>
    <w:p w:rsidR="00AD6F56" w:rsidRDefault="00E5363A">
      <w:pPr>
        <w:pStyle w:val="Balk1"/>
        <w:spacing w:before="92"/>
        <w:ind w:left="0"/>
      </w:pPr>
      <w:r>
        <w:t>INTRODUCTION</w:t>
      </w:r>
    </w:p>
    <w:p w:rsidR="00CA3081" w:rsidRDefault="00CA3081" w:rsidP="00CA3081">
      <w:pPr>
        <w:ind w:firstLine="426"/>
        <w:jc w:val="both"/>
        <w:rPr>
          <w:iCs/>
          <w:color w:val="000000"/>
          <w:sz w:val="24"/>
          <w:szCs w:val="24"/>
          <w:lang w:val="en-US"/>
        </w:rPr>
      </w:pPr>
      <w:r w:rsidRPr="00CA3081">
        <w:rPr>
          <w:iCs/>
          <w:color w:val="000000"/>
          <w:sz w:val="24"/>
          <w:szCs w:val="24"/>
          <w:lang w:val="en-US"/>
        </w:rPr>
        <w:t xml:space="preserve">The COVID-19 disease, which emerged in late 2019, spread all over the world and declared as a pandemic, continued to have its impact throughout 2020. Numerous methods and constraints, such as international travel bans, closure of borders between countries, the need to wear a mask, social distancing, meeting bans, prohibition of collective activities, and curfew to reduce the spread of the virus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6J0twLUE","properties":{"formattedCitation":"(1,2)","plainCitation":"(1,2)","noteIndex":0},"citationItems":[{"id":366,"uris":["http://zotero.org/users/6447875/items/IM8DQEAY"],"uri":["http://zotero.org/users/6447875/items/IM8DQEAY"],"itemData":{"id":366,"type":"article-journal","container-title":"Journal of Sport and Health Science","DOI":"10.1016/j.jshs.2020.10.001","ISSN":"20952546","journalAbbreviation":"Journal of Sport and Health Science","language":"en","page":"S2095254620301344","source":"DOI.org (Crossref)","title":"The effects of the COVID-19 pandemic on the physical activity of the Thai population: Evidence from Thailand's Surveillance on Physical Activity 2020","title-short":"The effects of the COVID-19 pandemic on the physical activity of the Thai population","author":[{"family":"Katewongsa","given":"Piyawat"},{"family":"Widyastari","given":"Dyah Anantalia"},{"family":"Saonuam","given":"Pairoj"},{"family":"Haemathulin","given":"Narumol"},{"family":"Wongsingha","given":"Narakorn"}],"issued":{"date-parts":[["2020",10]]}}},{"id":363,"uris":["http://zotero.org/users/6447875/items/8AXYVHGC"],"uri":["http://zotero.org/users/6447875/items/8AXYVHGC"],"itemData":{"id":363,"type":"article-journal","abstract":"The COVID-19 pandemic has resulted in over 4.3 million confirmed cases and over 290,000 deaths globally. It has also sparked fears of an impending economic crisis and recession. Social distancing, self-isolation and travel restrictions have lead to a reduced workforce across all economic sectors and caused many jobs to be lost. Schools have closed down, and the need for commodities and manufactured products has decreased. In contrast, the need for medical supplies has significantly increased. The food sector is also facing increased demand due to panic-buying and stockpiling of food products. In response to this global outbreak, we summarise the socio-economic effects of COVID-19 on individual aspects of the world economy.","container-title":"International Journal of Surgery (London, England)","DOI":"10.1016/j.ijsu.2020.04.018","ISSN":"1743-9159","journalAbbreviation":"Int J Surg","language":"eng","note":"PMID: 32305533\nPMCID: PMC7162753","page":"185-193","source":"PubMed","title":"The socio-economic implications of the coronavirus pandemic (COVID-19): A review","title-short":"The socio-economic implications of the coronavirus pandemic (COVID-19)","volume":"78","author":[{"family":"Nicola","given":"Maria"},{"family":"Alsafi","given":"Zaid"},{"family":"Sohrabi","given":"Catrin"},{"family":"Kerwan","given":"Ahmed"},{"family":"Al-Jabir","given":"Ahmed"},{"family":"Iosifidis","given":"Christos"},{"family":"Agha","given":"Maliha"},{"family":"Agha","given":"Riaz"}],"issued":{"date-parts":[["2020",6]]}}}],"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(1,2)</w:t>
      </w:r>
      <w:r w:rsidRPr="00CA3081">
        <w:rPr>
          <w:color w:val="000000"/>
          <w:sz w:val="24"/>
          <w:szCs w:val="24"/>
        </w:rPr>
        <w:fldChar w:fldCharType="end"/>
      </w:r>
      <w:r w:rsidRPr="00CA3081">
        <w:rPr>
          <w:iCs/>
          <w:color w:val="000000"/>
          <w:sz w:val="24"/>
          <w:szCs w:val="24"/>
          <w:lang w:val="en-US"/>
        </w:rPr>
        <w:t xml:space="preserve">. Despite all this, COVID-19 disease continued to rise, although it sometimes reduced its impact regionally. Some countries have begun to discuss a second wave of COVID-19 and its effects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g18BMS7W","properties":{"formattedCitation":"(3)","plainCitation":"(3)","noteIndex":0},"citationItems":[{"id":368,"uris":["http://zotero.org/users/6447875/items/Z7TGJMFP"],"uri":["http://zotero.org/users/6447875/items/Z7TGJMFP"],"itemData":{"id":368,"type":"article-journal","abstract":"Abstract\n            \n              A second wave pandemic constitutes an imminent threat to society, with a potentially immense toll in terms of human lives and a devastating economic impact. We employ the\n              epidemic Renormalisation Group\n              (eRG) approach to pandemics, together with the first wave data for COVID-19, to efficiently simulate the dynamics of disease transmission and spreading across different European countries. The framework allows us to model, not only inter and extra European border control effects, but also the impact of social distancing for each country. We perform statistical analyses averaging on different level of human interaction across Europe and with the rest of the World. Our results are neatly summarised as an animation reporting the time evolution of the first and second waves of the European COVID-19 pandemic. Our temporal playbook of the second wave pandemic can be used by governments, financial markets, the industries and individual citizens, to efficiently time, prepare and implement local and global measures.","container-title":"Scientific Reports","DOI":"10.1038/s41598-020-72611-5","ISSN":"2045-2322","issue":"1","journalAbbreviation":"Sci Rep","language":"en","page":"15514","source":"DOI.org (Crossref)","title":"Second wave COVID-19 pandemics in Europe: a temporal playbook","title-short":"Second wave COVID-19 pandemics in Europe","volume":"10","author":[{"family":"Cacciapaglia","given":"Giacomo"},{"family":"Cot","given":"Corentin"},{"family":"Sannino","given":"Francesco"}],"issued":{"date-parts":[["2020",12]]}}}],"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(3)</w:t>
      </w:r>
      <w:r w:rsidRPr="00CA3081">
        <w:rPr>
          <w:color w:val="000000"/>
          <w:sz w:val="24"/>
          <w:szCs w:val="24"/>
        </w:rPr>
        <w:fldChar w:fldCharType="end"/>
      </w:r>
      <w:r w:rsidRPr="00CA3081">
        <w:rPr>
          <w:iCs/>
          <w:color w:val="000000"/>
          <w:sz w:val="24"/>
          <w:szCs w:val="24"/>
          <w:lang w:val="en-US"/>
        </w:rPr>
        <w:t xml:space="preserve">. In addition to all the measures taken, intensive vaccine development activities have been started in many countries to cope with the virus, which restricts our social life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TI2E6Jan","properties":{"formattedCitation":"(4)","plainCitation":"(4)","noteIndex":0},"citationItems":[{"id":370,"uris":["http://zotero.org/users/6447875/items/CQUKA8UA"],"uri":["http://zotero.org/users/6447875/items/CQUKA8UA"],"itemData":{"id":370,"type":"article-journal","container-title":"Frontiers in Immunology","DOI":"10.3389/fimmu.2020.585354","ISSN":"1664-3224","journalAbbreviation":"Front. Immunol.","page":"585354","source":"DOI.org (Crossref)","title":"A Review of the Progress and Challenges of Developing a Vaccine for COVID-19","volume":"11","author":[{"family":"Sharma","given":"Omna"},{"family":"Sultan","given":"Ali A."},{"family":"Ding","given":"Hong"},{"family":"Triggle","given":"Chris R."}],"issued":{"date-parts":[["2020",10,14]]}},"locator":"-19"}],"schema":"https://github.com/citation-style-language/schema/raw/master/csl-citation.json"}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(4)</w:t>
      </w:r>
      <w:r w:rsidRPr="00CA3081">
        <w:rPr>
          <w:color w:val="000000"/>
          <w:sz w:val="24"/>
          <w:szCs w:val="24"/>
        </w:rPr>
        <w:fldChar w:fldCharType="end"/>
      </w:r>
      <w:r w:rsidRPr="00CA3081">
        <w:rPr>
          <w:iCs/>
          <w:color w:val="000000"/>
          <w:sz w:val="24"/>
          <w:szCs w:val="24"/>
          <w:lang w:val="en-US"/>
        </w:rPr>
        <w:t xml:space="preserve">. Although there is no definitive experience of the effectiveness of vaccines yet, vaccine studies for a </w:t>
      </w:r>
    </w:p>
    <w:p w:rsidR="00CA3081" w:rsidRDefault="00CA3081" w:rsidP="00CA3081">
      <w:pPr>
        <w:ind w:firstLine="426"/>
        <w:jc w:val="both"/>
        <w:rPr>
          <w:iCs/>
          <w:color w:val="000000"/>
          <w:sz w:val="24"/>
          <w:szCs w:val="24"/>
          <w:lang w:val="en-US"/>
        </w:rPr>
      </w:pPr>
    </w:p>
    <w:p w:rsid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permanent solution continue to be followed by people with hope. Although the world was expecting a relief, studies began to show that people who have already had COVID-19 were again admitted to the hospital due to COVID-19 positivity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eI8B5Q4X","properties":{"formattedCitation":"(5)","plainCitation":"(5)","noteIndex":0},"citationItems":[{"id":372,"uris":["http://zotero.org/users/6447875/items/DW9F83YL"],"uri":["http://zotero.org/users/6447875/items/DW9F83YL"],"itemData":{"id":372,"type":"article-journal","container-title":"JAMA","DOI":"10.1001/jama.2020.2783","ISSN":"0098-7484","issue":"15","journalAbbreviation":"JAMA","language":"en","page":"1502","source":"DOI.org (Crossref)","title":"Positive RT-PCR Test Results in Patients Recovered From COVID-19","volume":"323","author":[{"family":"Lan","given":"Lan"},{"family":"Xu","given":"Dan"},{"family":"Ye","given":"Guangming"},{"family":"Xia","given":"Chen"},{"family":"Wang","given":"Shaokang"},{"family":"Li","given":"Yirong"},{"family":"Xu","given":"Haibo"}],"issued":{"date-parts":[["2020",4,21]]}},"locator":"-19"}],"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(5)</w:t>
      </w:r>
      <w:r w:rsidRPr="00CA3081">
        <w:rPr>
          <w:color w:val="000000"/>
          <w:sz w:val="24"/>
          <w:szCs w:val="24"/>
        </w:rPr>
        <w:fldChar w:fldCharType="end"/>
      </w:r>
      <w:r w:rsidRPr="00CA3081">
        <w:rPr>
          <w:iCs/>
          <w:color w:val="000000"/>
          <w:sz w:val="24"/>
          <w:szCs w:val="24"/>
          <w:lang w:val="en-US"/>
        </w:rPr>
        <w:t>. When someone who has had COVID-19 tests positive again for COVID-19? Is reinfection possible? How long antibodies protect us? How long the protection will last through the vaccines that induce antibodies in the fight against COVID-19? These questions come to mind without an answer yet. In order to find answers to these questions, there must be sufficient number of studies in the current medical literature on recurrent COVID-19 cases.</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This study aims to identify whether there were recurrent RT-PCR positive patients who have tested positive for COVID-19 before, the demographic characteristics of these patients, the duration between recurrent positive test results, re-hospitalization status, and </w:t>
      </w:r>
      <w:r w:rsidRPr="00CA3081">
        <w:rPr>
          <w:iCs/>
          <w:color w:val="000000"/>
          <w:sz w:val="24"/>
          <w:szCs w:val="24"/>
          <w:lang w:val="en-US"/>
        </w:rPr>
        <w:lastRenderedPageBreak/>
        <w:t>mortality. In this way, the study aims to contribute to the current medical literature in terms of supporting the studies of valuable researchers looking for answers to the above-mentioned questions.</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b/>
          <w:iCs/>
          <w:color w:val="000000"/>
          <w:sz w:val="24"/>
          <w:szCs w:val="24"/>
          <w:lang w:val="en-US"/>
        </w:rPr>
      </w:pPr>
      <w:r w:rsidRPr="00CA3081">
        <w:rPr>
          <w:b/>
          <w:iCs/>
          <w:color w:val="000000"/>
          <w:sz w:val="24"/>
          <w:szCs w:val="24"/>
          <w:lang w:val="en-US"/>
        </w:rPr>
        <w:t>MATERIAL-METHOD</w:t>
      </w: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This study was conducted at the 1300-bed Sakarya University Training and Research Hospital (SEAH), the largest hospital in Sakarya province, which served as a pandemic hospital during the COVID-19 pandemic. In SEAH, admission for the first suspected or symptomatic cases are handled in reserved areas in the emergency department. All cases who tested positive again at least 14 days after the first RT-PCR positive test result, who admitted to the SEAH emergency department from 19/03/2020, which is the time of the first Real-Time Reverse Transcription-Polymerase Chain Reaction (RT-PCR) positive COVID-19 case, until 05/01/2021 were included in the research. Undecided cases, those with typical chest tomography findings without a positive RT-PCR test, and patients under the age of 18 were excluded from the research.</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First nasopharyngeal and then oropharyngeal RT-PCR samples were collected in a combined and sequential manner.</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According to the COVID-19 guidelines of the Ministry of Health in Turkey, 14 days of isolation were applied to patients who tested positive for COVID-19 RT-PCR in the first days of the pandemic, without requiring a negative RT-PCR test immediately after the treatment and isolation periods. Later, with the updates made in the guidelines, isolation was applied for 10 days for outpatient patients, 14 days for patients who were hospitalized for more than one day in the service, and 20 days for patients who were hospitalized in intensive care. Therefore, since there was no routine to perform RT-PCR test again in the first 14 days for the patients who tested positive, patients whose time </w:t>
      </w:r>
      <w:r w:rsidRPr="00CA3081">
        <w:rPr>
          <w:iCs/>
          <w:color w:val="000000"/>
          <w:sz w:val="24"/>
          <w:szCs w:val="24"/>
          <w:lang w:val="en-US"/>
        </w:rPr>
        <w:lastRenderedPageBreak/>
        <w:t>between two RT-PCR positives more than 14 days were included in the study.</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The data were obtained from the hospital automation system and patient files with the permission obtained from the SEAH Chief Physician Office on 14/01/2021, by paying attention to the confidentiality of personal data. The data obtained were evaluated using the IBM Statistical Package for the Social Sciences (SPSS) version 21 statistics program, and the Skewness and Kurtosis values in the range of -2/+2 were tested for compliance with the normal distribution of the data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LSC1hHbL","properties":{"formattedCitation":"(6)","plainCitation":"(6)","noteIndex":0},"citationItems":[{"id":362,"uris":["http://zotero.org/users/6447875/items/M4URIGDK"],"uri":["http://zotero.org/users/6447875/items/M4URIGDK"],"itemData":{"id":362,"type":"book","call-number":"HA32","edition":"Fifteenth edition","event-place":"New York ; London","ISBN":"978-1-351-03388-6","language":"English","number-of-pages":"404","publisher":"Routledge, Taylor &amp; Francis Group","publisher-place":"New York ; London","source":"Library of Congress ISBN","title":"IBM SPSS statistics 25 step by step: a simple guide and reference","title-short":"IBM SPSS statistics 25 step by step","author":[{"family":"George","given":"Darren"},{"family":"Mallery","given":"Paul"}],"issued":{"date-parts":[["2019"]]}}}],"schema":"https://github.com/citation-style-language/schema/raw/master/csl-citation.json"}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(6)</w:t>
      </w:r>
      <w:r w:rsidRPr="00CA3081">
        <w:rPr>
          <w:color w:val="000000"/>
          <w:sz w:val="24"/>
          <w:szCs w:val="24"/>
        </w:rPr>
        <w:fldChar w:fldCharType="end"/>
      </w:r>
      <w:r w:rsidRPr="00CA3081">
        <w:rPr>
          <w:iCs/>
          <w:color w:val="000000"/>
          <w:sz w:val="24"/>
          <w:szCs w:val="24"/>
          <w:lang w:val="en-US"/>
        </w:rPr>
        <w:t>. The Pearson correlation test was used for the correlation of those within this interval. Values outside this range were considered to have non-normal distribution, and the Spearman correlation test was used for non-parametric correlation analysis.</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Chi square test was used to compare categorical data. For the results, p&lt;0.05 was considered statistically significant.</w:t>
      </w: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A Scientific Research permit, dated 11/01/2021, was obtained from the Republic of Turkey Ministry of Health.</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b/>
          <w:iCs/>
          <w:color w:val="000000"/>
          <w:sz w:val="24"/>
          <w:szCs w:val="24"/>
          <w:lang w:val="en-US"/>
        </w:rPr>
      </w:pPr>
      <w:r w:rsidRPr="00CA3081">
        <w:rPr>
          <w:b/>
          <w:iCs/>
          <w:color w:val="000000"/>
          <w:sz w:val="24"/>
          <w:szCs w:val="24"/>
          <w:lang w:val="en-US"/>
        </w:rPr>
        <w:t>RESULTS AND DISCUSSION</w:t>
      </w: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The number of patients who tested positive for RT-PCR for the second time was 190, with at least 15 days interval during the study period. Of these patients, 97 (51.1%) were male and 93 (48.9%) were female. The average age was 43.98 years (±16.3), the median age was 41.5 years, the minimum was 19 years, and the maximum was 86 years.</w:t>
      </w:r>
    </w:p>
    <w:p w:rsidR="00CA3081" w:rsidRDefault="00CA3081" w:rsidP="00CA3081">
      <w:pPr>
        <w:ind w:firstLine="426"/>
        <w:jc w:val="both"/>
        <w:rPr>
          <w:color w:val="000000"/>
          <w:sz w:val="24"/>
          <w:szCs w:val="24"/>
          <w:lang w:val="en-US"/>
        </w:rPr>
      </w:pPr>
      <w:r w:rsidRPr="00CA3081">
        <w:rPr>
          <w:iCs/>
          <w:color w:val="000000"/>
          <w:sz w:val="24"/>
          <w:szCs w:val="24"/>
          <w:lang w:val="en-US"/>
        </w:rPr>
        <w:t>Of the patients, 147 (77.4%) were never hospitalized, and 43 (22.6%) were hospitalized at least once and treated. The hospitalization status of the patients is shown in Table 1.</w:t>
      </w:r>
      <w:r w:rsidRPr="00CA3081">
        <w:rPr>
          <w:color w:val="000000"/>
          <w:sz w:val="24"/>
          <w:szCs w:val="24"/>
          <w:lang w:val="en-US"/>
        </w:rPr>
        <w:t xml:space="preserve"> </w:t>
      </w:r>
    </w:p>
    <w:p w:rsidR="005C635D" w:rsidRDefault="005C635D" w:rsidP="00CA3081">
      <w:pPr>
        <w:ind w:firstLine="426"/>
        <w:jc w:val="both"/>
        <w:rPr>
          <w:color w:val="000000"/>
          <w:sz w:val="24"/>
          <w:szCs w:val="24"/>
          <w:lang w:val="en-US"/>
        </w:rPr>
      </w:pPr>
    </w:p>
    <w:p w:rsidR="005C635D" w:rsidRDefault="005C635D" w:rsidP="00CA3081">
      <w:pPr>
        <w:ind w:firstLine="426"/>
        <w:jc w:val="both"/>
        <w:rPr>
          <w:color w:val="000000"/>
          <w:sz w:val="24"/>
          <w:szCs w:val="24"/>
          <w:lang w:val="en-US"/>
        </w:rPr>
      </w:pPr>
    </w:p>
    <w:p w:rsidR="005C635D" w:rsidRDefault="005C635D" w:rsidP="00CA3081">
      <w:pPr>
        <w:ind w:firstLine="426"/>
        <w:jc w:val="both"/>
        <w:rPr>
          <w:color w:val="000000"/>
          <w:sz w:val="24"/>
          <w:szCs w:val="24"/>
          <w:lang w:val="en-US"/>
        </w:rPr>
      </w:pPr>
    </w:p>
    <w:p w:rsidR="005C635D" w:rsidRDefault="005C635D" w:rsidP="00CA3081">
      <w:pPr>
        <w:ind w:firstLine="426"/>
        <w:jc w:val="both"/>
        <w:rPr>
          <w:color w:val="000000"/>
          <w:sz w:val="24"/>
          <w:szCs w:val="24"/>
          <w:lang w:val="en-US"/>
        </w:rPr>
      </w:pPr>
    </w:p>
    <w:p w:rsidR="005C635D" w:rsidRPr="00CA3081" w:rsidRDefault="005C635D" w:rsidP="00CA3081">
      <w:pPr>
        <w:ind w:firstLine="426"/>
        <w:jc w:val="both"/>
        <w:rPr>
          <w:color w:val="000000"/>
          <w:sz w:val="24"/>
          <w:szCs w:val="24"/>
          <w:lang w:val="en-US"/>
        </w:rPr>
      </w:pPr>
    </w:p>
    <w:p w:rsidR="00CA3081" w:rsidRPr="00CA3081" w:rsidRDefault="00CA3081" w:rsidP="00CA3081">
      <w:pPr>
        <w:ind w:firstLine="426"/>
        <w:jc w:val="both"/>
        <w:rPr>
          <w:b/>
          <w:bCs/>
          <w:color w:val="000000"/>
          <w:sz w:val="24"/>
          <w:szCs w:val="24"/>
          <w:lang w:val="en-US"/>
        </w:rPr>
      </w:pPr>
    </w:p>
    <w:p w:rsidR="00CA3081" w:rsidRPr="00CA3081" w:rsidRDefault="00CA3081" w:rsidP="00CA3081">
      <w:pPr>
        <w:ind w:firstLine="426"/>
        <w:jc w:val="both"/>
        <w:rPr>
          <w:color w:val="000000"/>
          <w:sz w:val="24"/>
          <w:szCs w:val="24"/>
          <w:lang w:val="en-US"/>
        </w:rPr>
      </w:pPr>
      <w:r w:rsidRPr="00CA3081">
        <w:rPr>
          <w:b/>
          <w:bCs/>
          <w:color w:val="000000"/>
          <w:sz w:val="24"/>
          <w:szCs w:val="24"/>
          <w:lang w:val="en-US"/>
        </w:rPr>
        <w:t>Table 1.</w:t>
      </w:r>
      <w:r w:rsidRPr="00CA3081">
        <w:rPr>
          <w:color w:val="000000"/>
          <w:sz w:val="24"/>
          <w:szCs w:val="24"/>
          <w:lang w:val="en-US"/>
        </w:rPr>
        <w:t xml:space="preserve"> Hospitalization Status</w:t>
      </w:r>
    </w:p>
    <w:tbl>
      <w:tblPr>
        <w:tblW w:w="6647" w:type="dxa"/>
        <w:tblInd w:w="157" w:type="dxa"/>
        <w:tblBorders>
          <w:top w:val="single" w:sz="18" w:space="0" w:color="00000A"/>
          <w:bottom w:val="single" w:sz="18" w:space="0" w:color="00000A"/>
          <w:insideH w:val="single" w:sz="18" w:space="0" w:color="00000A"/>
        </w:tblBorders>
        <w:tblLook w:val="0000" w:firstRow="0" w:lastRow="0" w:firstColumn="0" w:lastColumn="0" w:noHBand="0" w:noVBand="0"/>
      </w:tblPr>
      <w:tblGrid>
        <w:gridCol w:w="2203"/>
        <w:gridCol w:w="2230"/>
        <w:gridCol w:w="2214"/>
      </w:tblGrid>
      <w:tr w:rsidR="00CA3081" w:rsidRPr="00CA3081" w:rsidTr="00F34AB7">
        <w:tc>
          <w:tcPr>
            <w:tcW w:w="2109" w:type="dxa"/>
            <w:tcBorders>
              <w:top w:val="single" w:sz="18" w:space="0" w:color="00000A"/>
              <w:bottom w:val="single" w:sz="18" w:space="0" w:color="00000A"/>
            </w:tcBorders>
            <w:shd w:val="clear" w:color="auto" w:fill="4472C4"/>
          </w:tcPr>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Hospitalization</w:t>
            </w:r>
          </w:p>
        </w:tc>
        <w:tc>
          <w:tcPr>
            <w:tcW w:w="2275" w:type="dxa"/>
            <w:tcBorders>
              <w:top w:val="single" w:sz="18" w:space="0" w:color="00000A"/>
              <w:bottom w:val="single" w:sz="18" w:space="0" w:color="00000A"/>
            </w:tcBorders>
            <w:shd w:val="clear" w:color="auto" w:fill="4472C4"/>
          </w:tcPr>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Number</w:t>
            </w:r>
          </w:p>
        </w:tc>
        <w:tc>
          <w:tcPr>
            <w:tcW w:w="2263" w:type="dxa"/>
            <w:tcBorders>
              <w:top w:val="single" w:sz="18" w:space="0" w:color="00000A"/>
              <w:bottom w:val="single" w:sz="18" w:space="0" w:color="00000A"/>
            </w:tcBorders>
            <w:shd w:val="clear" w:color="auto" w:fill="4472C4"/>
          </w:tcPr>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Percent %</w:t>
            </w:r>
          </w:p>
        </w:tc>
      </w:tr>
      <w:tr w:rsidR="00CA3081" w:rsidRPr="00CA3081" w:rsidTr="00F34AB7">
        <w:tc>
          <w:tcPr>
            <w:tcW w:w="210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lastRenderedPageBreak/>
              <w:t>Never hospitalized</w:t>
            </w:r>
          </w:p>
        </w:tc>
        <w:tc>
          <w:tcPr>
            <w:tcW w:w="2275"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147</w:t>
            </w:r>
          </w:p>
        </w:tc>
        <w:tc>
          <w:tcPr>
            <w:tcW w:w="2263"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77.4</w:t>
            </w:r>
          </w:p>
        </w:tc>
      </w:tr>
      <w:tr w:rsidR="00CA3081" w:rsidRPr="00CA3081" w:rsidTr="00F34AB7">
        <w:tc>
          <w:tcPr>
            <w:tcW w:w="210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At the first admission</w:t>
            </w:r>
          </w:p>
        </w:tc>
        <w:tc>
          <w:tcPr>
            <w:tcW w:w="2275"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29</w:t>
            </w:r>
          </w:p>
        </w:tc>
        <w:tc>
          <w:tcPr>
            <w:tcW w:w="2263"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15.2</w:t>
            </w:r>
          </w:p>
        </w:tc>
      </w:tr>
      <w:tr w:rsidR="00CA3081" w:rsidRPr="00CA3081" w:rsidTr="00F34AB7">
        <w:tc>
          <w:tcPr>
            <w:tcW w:w="210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At the second admission</w:t>
            </w:r>
          </w:p>
        </w:tc>
        <w:tc>
          <w:tcPr>
            <w:tcW w:w="2275"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7</w:t>
            </w:r>
          </w:p>
        </w:tc>
        <w:tc>
          <w:tcPr>
            <w:tcW w:w="2263"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3.7</w:t>
            </w:r>
          </w:p>
        </w:tc>
      </w:tr>
      <w:tr w:rsidR="00CA3081" w:rsidRPr="00CA3081" w:rsidTr="00F34AB7">
        <w:tc>
          <w:tcPr>
            <w:tcW w:w="210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At both admissions</w:t>
            </w:r>
          </w:p>
        </w:tc>
        <w:tc>
          <w:tcPr>
            <w:tcW w:w="2275"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7</w:t>
            </w:r>
          </w:p>
        </w:tc>
        <w:tc>
          <w:tcPr>
            <w:tcW w:w="2263"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3.7</w:t>
            </w:r>
          </w:p>
        </w:tc>
      </w:tr>
      <w:tr w:rsidR="00CA3081" w:rsidRPr="00CA3081" w:rsidTr="00F34AB7">
        <w:tc>
          <w:tcPr>
            <w:tcW w:w="2109"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Total</w:t>
            </w:r>
          </w:p>
        </w:tc>
        <w:tc>
          <w:tcPr>
            <w:tcW w:w="2275"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190</w:t>
            </w:r>
          </w:p>
        </w:tc>
        <w:tc>
          <w:tcPr>
            <w:tcW w:w="2263"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100</w:t>
            </w:r>
          </w:p>
        </w:tc>
      </w:tr>
    </w:tbl>
    <w:p w:rsidR="00CA3081" w:rsidRPr="00CA3081" w:rsidRDefault="00CA3081" w:rsidP="00CA3081">
      <w:pPr>
        <w:ind w:firstLine="426"/>
        <w:jc w:val="both"/>
        <w:rPr>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There was a statistically significant difference in their hospitalization status in terms gender (p=0.036). Of the hospitalized patients, 28 (65.1%) were male and 15 (34.9%) were female. The average age of the inpatients was 54.67 years (±16.15), the median age was 55 years, the minimum was 25 years, and the maximum was 86 years.</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Of the inpatients, 31 (72.1%) received treatment only in the service, and 12 (27.9%) received treatment in intensive care. Looking at the duration of hospital stay of the inpatients, it was observed that the average was 11.16 days (±8.9), between a minimum of 2 days and a maximum of 34 days. A weak, but significant positive correlation was found between the age of the patients and the duration of their hospital stay (r=0.386). Accordingly, the duration of hospital stay increases, as the age of patients increases.</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The average time between the two positives was 52.92 days, the median value was 21.5 days, the minimum was 15 days, and the maximum was 244 days. Of these patients, 9 (4.7%) maintained their positivity despite hospitalization for 14 days. The average duration between two positive tests of patients in this group was 18.9 days (±5.01), between a minimum of 15 days and a maximum of 30 days. Looking at the time between the two positives on a monthly basis, it is seen that 117 patients (61.6%) tested positive for RT-PCR again within the first 30 days. Only 59 patients (31.1%) were found to have a negative RT-PCR result between the two RT-PCR positives. Of the patients, 131 patients (68.9%) had no negative RT-PCR results </w:t>
      </w:r>
      <w:r w:rsidRPr="00CA3081">
        <w:rPr>
          <w:iCs/>
          <w:color w:val="000000"/>
          <w:sz w:val="24"/>
          <w:szCs w:val="24"/>
          <w:lang w:val="en-US"/>
        </w:rPr>
        <w:lastRenderedPageBreak/>
        <w:t xml:space="preserve">between two positive RT-PCR results. See Table 2 for two RT-PCR test positives and elapsed time between the two positives. </w:t>
      </w:r>
    </w:p>
    <w:p w:rsidR="00CA3081" w:rsidRPr="00CA3081" w:rsidRDefault="00CA3081" w:rsidP="00CA3081">
      <w:pPr>
        <w:ind w:firstLine="426"/>
        <w:jc w:val="both"/>
        <w:rPr>
          <w:b/>
          <w:bCs/>
          <w:color w:val="000000"/>
          <w:sz w:val="24"/>
          <w:szCs w:val="24"/>
          <w:lang w:val="en-US"/>
        </w:rPr>
      </w:pPr>
    </w:p>
    <w:p w:rsidR="00CA3081" w:rsidRPr="00CA3081" w:rsidRDefault="00CA3081" w:rsidP="00CA3081">
      <w:pPr>
        <w:ind w:firstLine="426"/>
        <w:jc w:val="both"/>
        <w:rPr>
          <w:color w:val="000000"/>
          <w:sz w:val="24"/>
          <w:szCs w:val="24"/>
          <w:lang w:val="en-US"/>
        </w:rPr>
      </w:pPr>
      <w:r w:rsidRPr="00CA3081">
        <w:rPr>
          <w:b/>
          <w:bCs/>
          <w:color w:val="000000"/>
          <w:sz w:val="24"/>
          <w:szCs w:val="24"/>
          <w:lang w:val="en-US"/>
        </w:rPr>
        <w:t>Table 2.</w:t>
      </w:r>
      <w:r w:rsidRPr="00CA3081">
        <w:rPr>
          <w:color w:val="000000"/>
          <w:sz w:val="24"/>
          <w:szCs w:val="24"/>
          <w:lang w:val="en-US"/>
        </w:rPr>
        <w:t xml:space="preserve"> Time Intervals between the Two Positive RT-PCR Tests</w:t>
      </w:r>
    </w:p>
    <w:tbl>
      <w:tblPr>
        <w:tblW w:w="8436" w:type="dxa"/>
        <w:tblInd w:w="182" w:type="dxa"/>
        <w:tblBorders>
          <w:top w:val="single" w:sz="18" w:space="0" w:color="00000A"/>
          <w:bottom w:val="single" w:sz="18" w:space="0" w:color="00000A"/>
          <w:insideH w:val="single" w:sz="18" w:space="0" w:color="00000A"/>
        </w:tblBorders>
        <w:tblLook w:val="0000" w:firstRow="0" w:lastRow="0" w:firstColumn="0" w:lastColumn="0" w:noHBand="0" w:noVBand="0"/>
      </w:tblPr>
      <w:tblGrid>
        <w:gridCol w:w="1496"/>
        <w:gridCol w:w="1416"/>
        <w:gridCol w:w="1183"/>
        <w:gridCol w:w="1351"/>
        <w:gridCol w:w="89"/>
        <w:gridCol w:w="1094"/>
        <w:gridCol w:w="1189"/>
        <w:gridCol w:w="1429"/>
      </w:tblGrid>
      <w:tr w:rsidR="00CA3081" w:rsidRPr="00CA3081" w:rsidTr="00F34AB7">
        <w:tc>
          <w:tcPr>
            <w:tcW w:w="1516" w:type="dxa"/>
            <w:tcBorders>
              <w:top w:val="single" w:sz="18" w:space="0" w:color="00000A"/>
              <w:bottom w:val="single" w:sz="18" w:space="0" w:color="00000A"/>
            </w:tcBorders>
            <w:shd w:val="clear" w:color="auto" w:fill="4472C4"/>
          </w:tcPr>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Number of Days</w:t>
            </w:r>
            <w:r w:rsidRPr="00CA3081">
              <w:rPr>
                <w:b/>
                <w:bCs/>
                <w:color w:val="000000"/>
                <w:sz w:val="24"/>
                <w:szCs w:val="24"/>
                <w:vertAlign w:val="superscript"/>
                <w:lang w:val="en-US"/>
              </w:rPr>
              <w:t>a</w:t>
            </w:r>
          </w:p>
        </w:tc>
        <w:tc>
          <w:tcPr>
            <w:tcW w:w="4270" w:type="dxa"/>
            <w:gridSpan w:val="5"/>
            <w:tcBorders>
              <w:top w:val="single" w:sz="18" w:space="0" w:color="00000A"/>
              <w:bottom w:val="single" w:sz="18" w:space="0" w:color="00000A"/>
            </w:tcBorders>
            <w:shd w:val="clear" w:color="auto" w:fill="4472C4"/>
          </w:tcPr>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Number of Patients</w:t>
            </w:r>
          </w:p>
        </w:tc>
        <w:tc>
          <w:tcPr>
            <w:tcW w:w="1080" w:type="dxa"/>
            <w:tcBorders>
              <w:top w:val="single" w:sz="18" w:space="0" w:color="00000A"/>
              <w:bottom w:val="single" w:sz="18" w:space="0" w:color="00000A"/>
            </w:tcBorders>
            <w:shd w:val="clear" w:color="auto" w:fill="4472C4"/>
          </w:tcPr>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Total Number</w:t>
            </w:r>
          </w:p>
        </w:tc>
        <w:tc>
          <w:tcPr>
            <w:tcW w:w="1569" w:type="dxa"/>
            <w:tcBorders>
              <w:top w:val="single" w:sz="18" w:space="0" w:color="00000A"/>
              <w:bottom w:val="single" w:sz="18" w:space="0" w:color="00000A"/>
            </w:tcBorders>
            <w:shd w:val="clear" w:color="auto" w:fill="4472C4"/>
          </w:tcPr>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Total</w:t>
            </w:r>
          </w:p>
          <w:p w:rsidR="00CA3081" w:rsidRPr="00CA3081" w:rsidRDefault="00CA3081" w:rsidP="00CA3081">
            <w:pPr>
              <w:ind w:firstLine="426"/>
              <w:jc w:val="both"/>
              <w:rPr>
                <w:b/>
                <w:bCs/>
                <w:color w:val="000000"/>
                <w:sz w:val="24"/>
                <w:szCs w:val="24"/>
                <w:lang w:val="en-US"/>
              </w:rPr>
            </w:pPr>
            <w:r w:rsidRPr="00CA3081">
              <w:rPr>
                <w:b/>
                <w:bCs/>
                <w:color w:val="000000"/>
                <w:sz w:val="24"/>
                <w:szCs w:val="24"/>
                <w:lang w:val="en-US"/>
              </w:rPr>
              <w:t>Percent %</w:t>
            </w:r>
          </w:p>
        </w:tc>
      </w:tr>
      <w:tr w:rsidR="00CA3081" w:rsidRPr="00CA3081" w:rsidTr="00F34AB7">
        <w:tc>
          <w:tcPr>
            <w:tcW w:w="151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p>
        </w:tc>
        <w:tc>
          <w:tcPr>
            <w:tcW w:w="2238" w:type="dxa"/>
            <w:gridSpan w:val="2"/>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i/>
                <w:color w:val="000000"/>
                <w:sz w:val="24"/>
                <w:szCs w:val="24"/>
                <w:u w:val="single"/>
                <w:lang w:val="en-US"/>
              </w:rPr>
              <w:t>There is a Negative in between</w:t>
            </w:r>
            <w:r w:rsidRPr="00CA3081">
              <w:rPr>
                <w:i/>
                <w:color w:val="000000"/>
                <w:sz w:val="24"/>
                <w:szCs w:val="24"/>
                <w:u w:val="single"/>
                <w:vertAlign w:val="superscript"/>
                <w:lang w:val="en-US"/>
              </w:rPr>
              <w:t>1</w:t>
            </w:r>
          </w:p>
        </w:tc>
        <w:tc>
          <w:tcPr>
            <w:tcW w:w="2032" w:type="dxa"/>
            <w:gridSpan w:val="3"/>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i/>
                <w:color w:val="000000"/>
                <w:sz w:val="24"/>
                <w:szCs w:val="24"/>
                <w:u w:val="single"/>
                <w:lang w:val="en-US"/>
              </w:rPr>
              <w:t>No Negatives between</w:t>
            </w:r>
            <w:r w:rsidRPr="00CA3081">
              <w:rPr>
                <w:i/>
                <w:color w:val="000000"/>
                <w:sz w:val="24"/>
                <w:szCs w:val="24"/>
                <w:u w:val="single"/>
                <w:vertAlign w:val="superscript"/>
                <w:lang w:val="en-US"/>
              </w:rPr>
              <w:t>2</w:t>
            </w:r>
          </w:p>
        </w:tc>
        <w:tc>
          <w:tcPr>
            <w:tcW w:w="108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p>
        </w:tc>
        <w:tc>
          <w:tcPr>
            <w:tcW w:w="156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p>
        </w:tc>
      </w:tr>
      <w:tr w:rsidR="00CA3081" w:rsidRPr="00CA3081" w:rsidTr="00F34AB7">
        <w:tc>
          <w:tcPr>
            <w:tcW w:w="151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p>
        </w:tc>
        <w:tc>
          <w:tcPr>
            <w:tcW w:w="850" w:type="dxa"/>
            <w:tcBorders>
              <w:top w:val="single" w:sz="18" w:space="0" w:color="00000A"/>
              <w:bottom w:val="single" w:sz="18" w:space="0" w:color="00000A"/>
            </w:tcBorders>
            <w:shd w:val="clear" w:color="auto" w:fill="auto"/>
          </w:tcPr>
          <w:p w:rsidR="00CA3081" w:rsidRPr="00CA3081" w:rsidRDefault="00CA3081" w:rsidP="00CA3081">
            <w:pPr>
              <w:ind w:firstLine="426"/>
              <w:jc w:val="both"/>
              <w:rPr>
                <w:i/>
                <w:color w:val="000000"/>
                <w:sz w:val="24"/>
                <w:szCs w:val="24"/>
                <w:lang w:val="en-US"/>
              </w:rPr>
            </w:pPr>
            <w:r w:rsidRPr="00CA3081">
              <w:rPr>
                <w:i/>
                <w:color w:val="000000"/>
                <w:sz w:val="24"/>
                <w:szCs w:val="24"/>
                <w:lang w:val="en-US"/>
              </w:rPr>
              <w:t>Number</w:t>
            </w:r>
          </w:p>
        </w:tc>
        <w:tc>
          <w:tcPr>
            <w:tcW w:w="1388"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3% percent</w:t>
            </w:r>
          </w:p>
        </w:tc>
        <w:tc>
          <w:tcPr>
            <w:tcW w:w="1067" w:type="dxa"/>
            <w:gridSpan w:val="2"/>
            <w:tcBorders>
              <w:top w:val="single" w:sz="18" w:space="0" w:color="00000A"/>
              <w:bottom w:val="single" w:sz="18" w:space="0" w:color="00000A"/>
            </w:tcBorders>
            <w:shd w:val="clear" w:color="auto" w:fill="auto"/>
          </w:tcPr>
          <w:p w:rsidR="00CA3081" w:rsidRPr="00CA3081" w:rsidRDefault="00CA3081" w:rsidP="00CA3081">
            <w:pPr>
              <w:ind w:firstLine="426"/>
              <w:jc w:val="both"/>
              <w:rPr>
                <w:i/>
                <w:color w:val="000000"/>
                <w:sz w:val="24"/>
                <w:szCs w:val="24"/>
                <w:lang w:val="en-US"/>
              </w:rPr>
            </w:pPr>
            <w:r w:rsidRPr="00CA3081">
              <w:rPr>
                <w:i/>
                <w:color w:val="000000"/>
                <w:sz w:val="24"/>
                <w:szCs w:val="24"/>
                <w:lang w:val="en-US"/>
              </w:rPr>
              <w:t>Number</w:t>
            </w:r>
          </w:p>
        </w:tc>
        <w:tc>
          <w:tcPr>
            <w:tcW w:w="965"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3% percent</w:t>
            </w:r>
          </w:p>
        </w:tc>
        <w:tc>
          <w:tcPr>
            <w:tcW w:w="108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p>
        </w:tc>
        <w:tc>
          <w:tcPr>
            <w:tcW w:w="156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p>
        </w:tc>
      </w:tr>
      <w:tr w:rsidR="00CA3081" w:rsidRPr="00CA3081" w:rsidTr="00F34AB7">
        <w:tc>
          <w:tcPr>
            <w:tcW w:w="151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15-30 days</w:t>
            </w:r>
          </w:p>
        </w:tc>
        <w:tc>
          <w:tcPr>
            <w:tcW w:w="85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26</w:t>
            </w:r>
          </w:p>
        </w:tc>
        <w:tc>
          <w:tcPr>
            <w:tcW w:w="1388"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13.68</w:t>
            </w:r>
          </w:p>
        </w:tc>
        <w:tc>
          <w:tcPr>
            <w:tcW w:w="97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91</w:t>
            </w:r>
          </w:p>
        </w:tc>
        <w:tc>
          <w:tcPr>
            <w:tcW w:w="1056" w:type="dxa"/>
            <w:gridSpan w:val="2"/>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47.89</w:t>
            </w:r>
          </w:p>
        </w:tc>
        <w:tc>
          <w:tcPr>
            <w:tcW w:w="108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117</w:t>
            </w:r>
          </w:p>
        </w:tc>
        <w:tc>
          <w:tcPr>
            <w:tcW w:w="156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61.57</w:t>
            </w:r>
          </w:p>
        </w:tc>
      </w:tr>
      <w:tr w:rsidR="00CA3081" w:rsidRPr="00CA3081" w:rsidTr="00F34AB7">
        <w:tc>
          <w:tcPr>
            <w:tcW w:w="151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31-60 days</w:t>
            </w:r>
          </w:p>
        </w:tc>
        <w:tc>
          <w:tcPr>
            <w:tcW w:w="85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8</w:t>
            </w:r>
          </w:p>
        </w:tc>
        <w:tc>
          <w:tcPr>
            <w:tcW w:w="1388"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4.21</w:t>
            </w:r>
          </w:p>
        </w:tc>
        <w:tc>
          <w:tcPr>
            <w:tcW w:w="97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18</w:t>
            </w:r>
          </w:p>
        </w:tc>
        <w:tc>
          <w:tcPr>
            <w:tcW w:w="1056" w:type="dxa"/>
            <w:gridSpan w:val="2"/>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9.47</w:t>
            </w:r>
          </w:p>
        </w:tc>
        <w:tc>
          <w:tcPr>
            <w:tcW w:w="108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26</w:t>
            </w:r>
          </w:p>
        </w:tc>
        <w:tc>
          <w:tcPr>
            <w:tcW w:w="156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13.68</w:t>
            </w:r>
          </w:p>
        </w:tc>
      </w:tr>
      <w:tr w:rsidR="00CA3081" w:rsidRPr="00CA3081" w:rsidTr="00F34AB7">
        <w:tc>
          <w:tcPr>
            <w:tcW w:w="151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61-90 days</w:t>
            </w:r>
          </w:p>
        </w:tc>
        <w:tc>
          <w:tcPr>
            <w:tcW w:w="85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7</w:t>
            </w:r>
          </w:p>
        </w:tc>
        <w:tc>
          <w:tcPr>
            <w:tcW w:w="1388"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3.68</w:t>
            </w:r>
          </w:p>
        </w:tc>
        <w:tc>
          <w:tcPr>
            <w:tcW w:w="97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8</w:t>
            </w:r>
          </w:p>
        </w:tc>
        <w:tc>
          <w:tcPr>
            <w:tcW w:w="1056" w:type="dxa"/>
            <w:gridSpan w:val="2"/>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4.21</w:t>
            </w:r>
          </w:p>
        </w:tc>
        <w:tc>
          <w:tcPr>
            <w:tcW w:w="108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15</w:t>
            </w:r>
          </w:p>
        </w:tc>
        <w:tc>
          <w:tcPr>
            <w:tcW w:w="156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7.89</w:t>
            </w:r>
          </w:p>
        </w:tc>
      </w:tr>
      <w:tr w:rsidR="00CA3081" w:rsidRPr="00CA3081" w:rsidTr="00F34AB7">
        <w:tc>
          <w:tcPr>
            <w:tcW w:w="151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&lt; 91 days</w:t>
            </w:r>
          </w:p>
        </w:tc>
        <w:tc>
          <w:tcPr>
            <w:tcW w:w="85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18</w:t>
            </w:r>
          </w:p>
        </w:tc>
        <w:tc>
          <w:tcPr>
            <w:tcW w:w="1388"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9.47</w:t>
            </w:r>
          </w:p>
        </w:tc>
        <w:tc>
          <w:tcPr>
            <w:tcW w:w="976"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14</w:t>
            </w:r>
          </w:p>
        </w:tc>
        <w:tc>
          <w:tcPr>
            <w:tcW w:w="1056" w:type="dxa"/>
            <w:gridSpan w:val="2"/>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7.36</w:t>
            </w:r>
          </w:p>
        </w:tc>
        <w:tc>
          <w:tcPr>
            <w:tcW w:w="1080"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32</w:t>
            </w:r>
          </w:p>
        </w:tc>
        <w:tc>
          <w:tcPr>
            <w:tcW w:w="1569" w:type="dxa"/>
            <w:tcBorders>
              <w:top w:val="single" w:sz="18" w:space="0" w:color="00000A"/>
              <w:bottom w:val="single" w:sz="18" w:space="0" w:color="00000A"/>
            </w:tcBorders>
            <w:shd w:val="clear" w:color="auto" w:fill="auto"/>
          </w:tcPr>
          <w:p w:rsidR="00CA3081" w:rsidRPr="00CA3081" w:rsidRDefault="00CA3081" w:rsidP="00CA3081">
            <w:pPr>
              <w:ind w:firstLine="426"/>
              <w:jc w:val="both"/>
              <w:rPr>
                <w:color w:val="000000"/>
                <w:sz w:val="24"/>
                <w:szCs w:val="24"/>
                <w:lang w:val="en-US"/>
              </w:rPr>
            </w:pPr>
            <w:r w:rsidRPr="00CA3081">
              <w:rPr>
                <w:color w:val="000000"/>
                <w:sz w:val="24"/>
                <w:szCs w:val="24"/>
                <w:lang w:val="en-US"/>
              </w:rPr>
              <w:t>16.84</w:t>
            </w:r>
          </w:p>
        </w:tc>
      </w:tr>
      <w:tr w:rsidR="00CA3081" w:rsidRPr="00CA3081" w:rsidTr="00F34AB7">
        <w:tc>
          <w:tcPr>
            <w:tcW w:w="1516"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Total</w:t>
            </w:r>
          </w:p>
        </w:tc>
        <w:tc>
          <w:tcPr>
            <w:tcW w:w="850"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59</w:t>
            </w:r>
          </w:p>
        </w:tc>
        <w:tc>
          <w:tcPr>
            <w:tcW w:w="1388"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31.05</w:t>
            </w:r>
          </w:p>
        </w:tc>
        <w:tc>
          <w:tcPr>
            <w:tcW w:w="976"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131</w:t>
            </w:r>
          </w:p>
        </w:tc>
        <w:tc>
          <w:tcPr>
            <w:tcW w:w="1056" w:type="dxa"/>
            <w:gridSpan w:val="2"/>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68.94</w:t>
            </w:r>
          </w:p>
        </w:tc>
        <w:tc>
          <w:tcPr>
            <w:tcW w:w="1080"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190</w:t>
            </w:r>
          </w:p>
        </w:tc>
        <w:tc>
          <w:tcPr>
            <w:tcW w:w="1569" w:type="dxa"/>
            <w:tcBorders>
              <w:top w:val="double" w:sz="6" w:space="0" w:color="00000A"/>
              <w:bottom w:val="single" w:sz="18" w:space="0" w:color="00000A"/>
            </w:tcBorders>
            <w:shd w:val="clear" w:color="auto" w:fill="FFFFFF"/>
          </w:tcPr>
          <w:p w:rsidR="00CA3081" w:rsidRPr="00CA3081" w:rsidRDefault="00CA3081" w:rsidP="00CA3081">
            <w:pPr>
              <w:ind w:firstLine="426"/>
              <w:jc w:val="both"/>
              <w:rPr>
                <w:color w:val="000000"/>
                <w:sz w:val="24"/>
                <w:szCs w:val="24"/>
                <w:lang w:val="en-US"/>
              </w:rPr>
            </w:pPr>
            <w:r w:rsidRPr="00CA3081">
              <w:rPr>
                <w:color w:val="000000"/>
                <w:sz w:val="24"/>
                <w:szCs w:val="24"/>
                <w:lang w:val="en-US"/>
              </w:rPr>
              <w:t>100</w:t>
            </w:r>
          </w:p>
        </w:tc>
      </w:tr>
    </w:tbl>
    <w:p w:rsidR="00CA3081" w:rsidRPr="005C635D" w:rsidRDefault="00CA3081" w:rsidP="00CA3081">
      <w:pPr>
        <w:ind w:firstLine="426"/>
        <w:jc w:val="both"/>
        <w:rPr>
          <w:iCs/>
          <w:color w:val="000000"/>
          <w:sz w:val="24"/>
          <w:szCs w:val="24"/>
          <w:lang w:val="en-US"/>
        </w:rPr>
      </w:pPr>
      <w:r w:rsidRPr="005C635D">
        <w:rPr>
          <w:iCs/>
          <w:color w:val="000000"/>
          <w:sz w:val="24"/>
          <w:szCs w:val="24"/>
          <w:lang w:val="en-US"/>
        </w:rPr>
        <w:t>A Number of days between two positive RT-PCR test results</w:t>
      </w:r>
    </w:p>
    <w:p w:rsidR="00CA3081" w:rsidRPr="00CA3081" w:rsidRDefault="00CA3081" w:rsidP="00CA3081">
      <w:pPr>
        <w:ind w:firstLine="426"/>
        <w:jc w:val="both"/>
        <w:rPr>
          <w:color w:val="000000"/>
          <w:sz w:val="24"/>
          <w:szCs w:val="24"/>
          <w:lang w:val="en-US"/>
        </w:rPr>
      </w:pPr>
      <w:r w:rsidRPr="005C635D">
        <w:rPr>
          <w:iCs/>
          <w:color w:val="000000"/>
          <w:sz w:val="24"/>
          <w:szCs w:val="24"/>
          <w:lang w:val="en-US"/>
        </w:rPr>
        <w:t>1.</w:t>
      </w:r>
      <w:r w:rsidRPr="005C635D">
        <w:rPr>
          <w:color w:val="000000"/>
          <w:sz w:val="24"/>
          <w:szCs w:val="24"/>
          <w:lang w:val="en-US"/>
        </w:rPr>
        <w:t xml:space="preserve"> There</w:t>
      </w:r>
      <w:r w:rsidRPr="00CA3081">
        <w:rPr>
          <w:color w:val="000000"/>
          <w:sz w:val="24"/>
          <w:szCs w:val="24"/>
          <w:lang w:val="en-US"/>
        </w:rPr>
        <w:t xml:space="preserve"> were at least 15 days between two positive RT-PCR tests, and there were negative RT-PCR test result(s) in between them.</w:t>
      </w:r>
    </w:p>
    <w:p w:rsidR="00CA3081" w:rsidRPr="00CA3081" w:rsidRDefault="00CA3081" w:rsidP="00CA3081">
      <w:pPr>
        <w:ind w:firstLine="426"/>
        <w:jc w:val="both"/>
        <w:rPr>
          <w:color w:val="000000"/>
          <w:sz w:val="24"/>
          <w:szCs w:val="24"/>
          <w:lang w:val="en-US"/>
        </w:rPr>
      </w:pPr>
      <w:r w:rsidRPr="00CA3081">
        <w:rPr>
          <w:color w:val="000000"/>
          <w:sz w:val="24"/>
          <w:szCs w:val="24"/>
          <w:lang w:val="en-US"/>
        </w:rPr>
        <w:t>2. No negative RT-PCR test results between the two positive RT-PCR tests.</w:t>
      </w:r>
    </w:p>
    <w:p w:rsidR="00CA3081" w:rsidRPr="00CA3081" w:rsidRDefault="00CA3081" w:rsidP="00CA3081">
      <w:pPr>
        <w:ind w:firstLine="426"/>
        <w:jc w:val="both"/>
        <w:rPr>
          <w:color w:val="000000"/>
          <w:sz w:val="24"/>
          <w:szCs w:val="24"/>
          <w:lang w:val="en-US"/>
        </w:rPr>
      </w:pPr>
      <w:r w:rsidRPr="00CA3081">
        <w:rPr>
          <w:color w:val="000000"/>
          <w:sz w:val="24"/>
          <w:szCs w:val="24"/>
          <w:lang w:val="en-US"/>
        </w:rPr>
        <w:t>3. It is the percentage value in the total number of patients.</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color w:val="000000"/>
          <w:sz w:val="24"/>
          <w:szCs w:val="24"/>
          <w:lang w:val="en-US"/>
        </w:rPr>
      </w:pPr>
      <w:r w:rsidRPr="00CA3081">
        <w:rPr>
          <w:iCs/>
          <w:color w:val="000000"/>
          <w:sz w:val="24"/>
          <w:szCs w:val="24"/>
          <w:lang w:val="en-US"/>
        </w:rPr>
        <w:t>A negative, weak correlation was found between the age of the patients and the time interval between the first and second positive RT-PCR (r=-0.194). Accordingly, as the age of patients increases, the time between two positive RT-PCR results decreases.</w:t>
      </w:r>
      <w:r w:rsidRPr="00CA3081">
        <w:rPr>
          <w:color w:val="000000"/>
          <w:sz w:val="24"/>
          <w:szCs w:val="24"/>
          <w:lang w:val="en-US"/>
        </w:rPr>
        <w:t xml:space="preserve"> </w:t>
      </w: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Looking at the mortality rates of the patients, 7 out of 190 patients (3.68%) deceased. Of the deceased patients, 6 were male (3.15% in total) and 1 (0.53% in total) was female. However, no statistically significant difference was found between the mortality status and the gender of the patients (p=0.119). The average age of these patients was 71.43 years (±6.99) and the median value was 73 years. Of the patients, 5 died in </w:t>
      </w:r>
      <w:r w:rsidRPr="00CA3081">
        <w:rPr>
          <w:iCs/>
          <w:color w:val="000000"/>
          <w:sz w:val="24"/>
          <w:szCs w:val="24"/>
          <w:lang w:val="en-US"/>
        </w:rPr>
        <w:lastRenderedPageBreak/>
        <w:t>intensive care, 1 died in inpatient service, and 1 in outpatient treatment.</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The issue that will need to be discussed most in this study is the time interval between positive RT-PCR results. Indeed, samples collected from 117 (61.57%) of 190 patients tested positive for RT-PCR within the first 30 days. In this group of 117 patients, although 26 patients tested negative for RT-PCR after the first positive RT-PCR result, they tested positive in the subsequent PCR tests. In the remaining 91 people of this group of 117 patients, RT-PCR positivity was observed again in their subsequent admissions, regardless of whether there was a negative after the first positive RT-PCR result during their outpatient or inpatient treatment. In this case, how will we interpret this fact? Is there a false negative associated with the difficulty of taking RT-PCR swab, or should we consider that patients who have tested negative are infected again within a month?</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In their systemic review of 2568 patients, Mahalul Azam et al. found a recurrent positive incidence of 14.8% and reported that the time from the onset of the disease to the date of re-positivity was an average of 35.4 days, and the time between the last negative result and the re-positive result was 9.8 days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uDemWkBu","properties":{"formattedCitation":"(7)","plainCitation":"(7)","noteIndex":0},"citationItems":[{"id":378,"uris":["http://zotero.org/users/6447875/items/EMNESLGP"],"uri":["http://zotero.org/users/6447875/items/EMNESLGP"],"itemData":{"id":378,"type":"article-journal","abstract":"Present study aimed to estimate the incidence of recurrent SARS-CoV-2 RNA positivity after recovery from COVID-19 and to determine the factors associated with recurrent positivity. We searched the PubMed, MedRxiv, BioRxiv, the Cochrane Library, ClinicalTrials.gov, and the World Health Organization International Clinical Trials Registry for studies published to June 12, 2020. Studies were reviewed to determine the risk of bias. A random-effects model was used to pool results. Heterogeneity was assessed using I2. Fourteen studies of 2568 individuals were included. The incidence of recurrent SARS-CoV-2 positivity was 14.8% (95% confidence interval [CI] 11.44–18.19%). The pooled estimate of the interval from disease onset to recurrence was 35.4 days (95% CI 32.65–38.24 days), and from the last negative to the recurrent positive result was 9.8 days (95% CI 7.31–12.22 days). Patients with younger age and a longer initial illness were more likely to experience recurrent SARS-CoV-2 positivity, while patients with diabetes, severe disease, and a low lymphocyte count were less likely to experience. Present study concluded that the incidence of recurrent SARS-CoV-2 positivity was 14.8% suggesting further studies must be conducted to elucidate the possibility of infectious individuals with prolonged or recurrent RNA positivity.","container-title":"Scientific Reports","DOI":"10.1038/s41598-020-77739-y","ISSN":"2045-2322","issue":"1","language":"en","note":"number: 1\npublisher: Nature Publishing Group","page":"20692","source":"www.nature.com","title":"Recurrent SARS-CoV-2 RNA positivity after COVID-19: a systematic review and meta-analysis","title-short":"Recurrent SARS-CoV-2 RNA positivity after COVID-19","volume":"10","author":[{"family":"Azam","given":"Mahalul"},{"family":"Sulistiana","given":"Rina"},{"family":"Ratnawati","given":"Martha"},{"family":"Fibriana","given":"Arulita Ika"},{"family":"Bahrudin","given":"Udin"},{"family":"Widyaningrum","given":"Dian"},{"family":"Aljunid","given":"Syed Mohamed"}],"issued":{"date-parts":[["2020",11,26]]}}}],"schema":"https://github.com/citation-style-language/schema/raw/master/csl-citation.json"}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(7)</w:t>
      </w:r>
      <w:r w:rsidRPr="00CA3081">
        <w:rPr>
          <w:color w:val="000000"/>
          <w:sz w:val="24"/>
          <w:szCs w:val="24"/>
        </w:rPr>
        <w:fldChar w:fldCharType="end"/>
      </w:r>
      <w:r w:rsidRPr="00CA3081">
        <w:rPr>
          <w:iCs/>
          <w:color w:val="000000"/>
          <w:sz w:val="24"/>
          <w:szCs w:val="24"/>
          <w:lang w:val="en-US"/>
        </w:rPr>
        <w:t xml:space="preserve">. Bo Yuan et al. also found that 20 (10.99%) out of 182 COVID-19 patients under medical isolation had recurrent positivity, of which 13 tested positive on the 7th day, and 7 of them on the 14th day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tJ5pQ5NY","properties":{"formattedCitation":"(8)","plainCitation":"(8)","noteIndex":0},"citationItems":[{"id":377,"uris":["http://zotero.org/users/6447875/items/44XE4HLT"],"uri":["http://zotero.org/users/6447875/items/44XE4HLT"],"itemData":{"id":377,"type":"article-journal","abstract":"Recently, the recurrence of positive SARS-CoV-2 viral RNA in recovered COVID-19 patients is receiving more attention. Herein we report a cohort study on the follow-up of 182 recovered patients under medical isolation observation. Twenty (10.99%) patients out of the 182 were detected to be SARS-CoV-2 RNA positive (re-positives), although none showed any clinical symptomatic recurrence, indicating that COVID-19 responds well to treatment. Patients aged under 18 years had higher re-positive rates than average, and none of the severely ill patients re-tested positive. There were no significant differences in sex between re-positives and non-re-positives. Notably, most of the re-positives turned negative in the following tests, and all of them carried antibodies against SARS-CoV-2. This indicates that they might not be infectious, although it is still important to perform regular SARS-CoV-2 RNA testing and follow-up for assessment of infectivity. The findings of this study provide information for improving the management of recovered patients, and for differentiating the follow-up of recovered patients with different risk levels.","container-title":"Scientific Reports","DOI":"10.1038/s41598-020-68782-w","ISSN":"2045-2322","issue":"1","language":"en","note":"number: 1\npublisher: Nature Publishing Group","page":"11887","source":"www.nature.com","title":"Recurrence of positive SARS-CoV-2 viral RNA in recovered COVID-19 patients during medical isolation observation","volume":"10","author":[{"family":"Yuan","given":"Bo"},{"family":"Liu","given":"Han-Qing"},{"family":"Yang","given":"Zheng-Rong"},{"family":"Chen","given":"Yong-Xin"},{"family":"Liu","given":"Zhi-Yong"},{"family":"Zhang","given":"Kai"},{"family":"Wang","given":"Cheng"},{"family":"Li","given":"Wei-Xin"},{"family":"An","given":"Ya-Wen"},{"family":"Wang","given":"Jian-Chun"},{"family":"Song","given":"Shuo"}],"issued":{"date-parts":[["2020",7,17]]}}}],"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(8)</w:t>
      </w:r>
      <w:r w:rsidRPr="00CA3081">
        <w:rPr>
          <w:color w:val="000000"/>
          <w:sz w:val="24"/>
          <w:szCs w:val="24"/>
        </w:rPr>
        <w:fldChar w:fldCharType="end"/>
      </w:r>
      <w:r w:rsidRPr="00CA3081">
        <w:rPr>
          <w:iCs/>
          <w:color w:val="000000"/>
          <w:sz w:val="24"/>
          <w:szCs w:val="24"/>
          <w:lang w:val="en-US"/>
        </w:rPr>
        <w:t xml:space="preserve">. Tie-Jun Shui et al. examined 758 COVID-19 patients who had at least two negative test result before being discharged from the hospital, and concluded that 59 patients (7.78%) tested positive again 33 days after their first admission on the average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mVIpeBeW","properties":{"formattedCitation":"(9)","plainCitation":"(9)","noteIndex":0},"citationItems":[{"id":375,"uris":["http://zotero.org/users/6447875/items/AUR9QULN"],"uri":["http://zotero.org/users/6447875/items/AUR9QULN"],"itemData":{"id":375,"type":"article-journal","abstract":"Two months after the outbreak of coronavirus disease 2019 (COVID-19) in Wuhan, China, tens of thousands of hospitalized patients had recovered, and little is known about the follow-up of the recovered patients.","container-title":"BMC Infectious Diseases","DOI":"10.1186/s12879-020-05463-z","ISSN":"1471-2334","issue":"1","journalAbbreviation":"BMC Infectious Diseases","page":"749","source":"BioMed Central","title":"Characteristics of recovered COVID-19 patients with recurrent positive RT-PCR findings in Wuhan, China: a retrospective study","title-short":"Characteristics of recovered COVID-19 patients with recurrent positive RT-PCR findings in Wuhan, China","volume":"20","author":[{"family":"Shui","given":"Tie-Jun"},{"family":"Li","given":"Chao"},{"family":"Liu","given":"Hong-bing"},{"family":"Chen","given":"Xiaohua"},{"family":"Zhang","given":"Bi-ke"}],"issued":{"date-parts":[["2020",10,13]]}}}],"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(9)</w:t>
      </w:r>
      <w:r w:rsidRPr="00CA3081">
        <w:rPr>
          <w:color w:val="000000"/>
          <w:sz w:val="24"/>
          <w:szCs w:val="24"/>
        </w:rPr>
        <w:fldChar w:fldCharType="end"/>
      </w:r>
      <w:r w:rsidRPr="00CA3081">
        <w:rPr>
          <w:iCs/>
          <w:color w:val="000000"/>
          <w:sz w:val="24"/>
          <w:szCs w:val="24"/>
          <w:lang w:val="en-US"/>
        </w:rPr>
        <w:t xml:space="preserve">. In a meta-analysis conducted by Tung Hoang, about 15% of 3644 discharged COVID-19 patients were tested positive again at a later time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4NpzaHyP","properties":{"formattedCitation":"(10)","plainCitation":"(10)","noteIndex":0},"citationItems":[{"id":374,"uris":["http://zotero.org/users/6447875/items/PE37R7GV"],"uri":["http://zotero.org/users/6447875/items/PE37R7GV"],"itemData":{"id":374,"type":"report","abstract":"Abstract\n          \n            Background\n            Previous studies reported the recurrence of coronavirus disease 2019 (COVID-19) among discharge patients. This study aimed to examine the characteristic of COVID-19 recurrence cases by performing a systematic review and meta-analysis.\n          \n          \n            Methods\n            A systematic search was performed in PubMed and Embase and gray literature up to September 17, 2020. A random-effects model was applied to obtain the pooled prevalence of disease recurrence among recovered patients and the prevalence of subjects underlying comorbidity among recurrence cases. The other characteristics were calculated based on the summary data of individual studies.\n          \n          \n            Results\n            A total of 41 studies were included in the final analysis, we have described the epidemiological characteristics of COVID-19 recurrence cases. Of 3,644 patients recovering from COVID-19 and being discharged, an estimate of 15% (95% CI, 12% to 19%) patients was re-positive with SARS-CoV-2 during the follow-up. This proportion was 14% (95% CI, 11% to 17%) for China and 31% (95% CI, 26% to 37%) for Korea. Among recurrence cases, it was estimated 39% (95% CI, 31% to 48%) subjects underlying at least one comorbidity. The estimates for times from disease onset to admission, from admission to discharge, and from discharge to RNA positive conversion were 4.8, 16.4, and 10.4 days, respectively.\n          \n          \n            Conclusion\n            This study summarized up-to-date evidence from case reports, case series, and observational studies for the characteristic of COVID-19 recurrence cases after discharge. It is recommended to pay attention to follow-up patients after discharge, even if they have been in quarantine.","genre":"preprint","language":"en","note":"DOI: 10.1101/2020.09.05.20189134","publisher":"Infectious Diseases (except HIV/AIDS)","source":"DOI.org (Crossref)","title":"Characteristics of COVID-19 recurrence: a systematic review and meta-analysis","title-short":"Characteristics of COVID-19 recurrence","URL":"http://medrxiv.org/lookup/doi/10.1101/2020.09.05.20189134","author":[{"family":"Hoang","given":"Tung"}],"accessed":{"date-parts":[["2021",1,7]]},"issued":{"date-parts":[["2020",9,8]]}}}],"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(10)</w:t>
      </w:r>
      <w:r w:rsidRPr="00CA3081">
        <w:rPr>
          <w:color w:val="000000"/>
          <w:sz w:val="24"/>
          <w:szCs w:val="24"/>
        </w:rPr>
        <w:fldChar w:fldCharType="end"/>
      </w:r>
      <w:r w:rsidRPr="00CA3081">
        <w:rPr>
          <w:iCs/>
          <w:color w:val="000000"/>
          <w:sz w:val="24"/>
          <w:szCs w:val="24"/>
          <w:lang w:val="en-US"/>
        </w:rPr>
        <w:t xml:space="preserve">. It has been noted by Steven Woloshin et al. that swab samples taken for COVID-19 can give false negative results at different rates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QWFbMxw7","properties":{"formattedCitation":"(11)","plainCitation":"(11)","noteIndex":0},"citationItems":[{"id":388,"uris":["http://zotero.org/users/6447875/items/5U5I2A6T"],"uri":["http://zotero.org/users/6447875/items/5U5I2A6T"],"itemData":{"id":388,"type":"article-journal","container-title":"The New England Journal of Medicine","DOI":"10.1056/NEJMp2015897","ISSN":"1533-4406","issue":"6","journalAbbreviation":"N Engl J Med","language":"eng","note":"PMID: 32502334","page":"e38","source":"PubMed","title":"False Negative Tests for SARS-CoV-2 Infection - Challenges and Implications","volume":"383","author":[{"family":"Woloshin","given":"Steven"},{"family":"Patel","given":"Neeraj"},{"family":"Kesselheim","given":"Aaron S."}],"issued":{"date-parts":[["2020",8,6]]}}}],"schema":"https://github.com/citation-style-language/schema/raw/master/csl-citation.json"}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(11)</w:t>
      </w:r>
      <w:r w:rsidRPr="00CA3081">
        <w:rPr>
          <w:color w:val="000000"/>
          <w:sz w:val="24"/>
          <w:szCs w:val="24"/>
        </w:rPr>
        <w:fldChar w:fldCharType="end"/>
      </w:r>
      <w:r w:rsidRPr="00CA3081">
        <w:rPr>
          <w:iCs/>
          <w:color w:val="000000"/>
          <w:sz w:val="24"/>
          <w:szCs w:val="24"/>
          <w:lang w:val="en-US"/>
        </w:rPr>
        <w:t xml:space="preserve">. In addition, it has been reported that although there were negative </w:t>
      </w:r>
      <w:r w:rsidRPr="00CA3081">
        <w:rPr>
          <w:iCs/>
          <w:color w:val="000000"/>
          <w:sz w:val="24"/>
          <w:szCs w:val="24"/>
          <w:lang w:val="en-US"/>
        </w:rPr>
        <w:lastRenderedPageBreak/>
        <w:t xml:space="preserve">results in the upper respiratory tract samples, positive results continued to be obtained in gastrointestinal tract samples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fNpDQ1VH","properties":{"formattedCitation":"(12)","plainCitation":"(12)","noteIndex":0},"citationItems":[{"id":393,"uris":["http://zotero.org/users/6447875/items/3F33MUYH"],"uri":["http://zotero.org/users/6447875/items/3F33MUYH"],"itemData":{"id":393,"type":"article-journal","container-title":"Protein &amp; Cell","DOI":"10.1007/s13238-020-00778-8","ISSN":"1674-8018","journalAbbreviation":"Protein Cell","language":"eng","note":"PMID: 32978728\nPMCID: PMC7518948","source":"PubMed","title":"Re-detectable positive SARS-CoV-2 RNA tests in patients who recovered from COVID-19 with intestinal infection","author":[{"family":"Tao","given":"Wanyin"},{"family":"Wang","given":"Xiaofang"},{"family":"Zhang","given":"Guorong"},{"family":"Guo","given":"Meng"},{"family":"Ma","given":"Huan"},{"family":"Zhao","given":"Dan"},{"family":"Sun","given":"Yong"},{"family":"He","given":"Jun"},{"family":"Liu","given":"Lianxin"},{"family":"Zhang","given":"Kaiguang"},{"family":"Wang","given":"Yucai"},{"family":"Weng","given":"Jianping"},{"family":"Ma","given":"Xiaoling"},{"family":"Jin","given":"Tengchuan"},{"family":"Zhu","given":"Shu"}],"issued":{"date-parts":[["2020",9,26]]}}}],"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(12)</w:t>
      </w:r>
      <w:r w:rsidRPr="00CA3081">
        <w:rPr>
          <w:color w:val="000000"/>
          <w:sz w:val="24"/>
          <w:szCs w:val="24"/>
        </w:rPr>
        <w:fldChar w:fldCharType="end"/>
      </w:r>
      <w:r w:rsidRPr="00CA3081">
        <w:rPr>
          <w:iCs/>
          <w:color w:val="000000"/>
          <w:sz w:val="24"/>
          <w:szCs w:val="24"/>
          <w:lang w:val="en-US"/>
        </w:rPr>
        <w:t xml:space="preserve">. Ai Tang Xiao et al. examined 70 COVID-19 patients who were tested positive again in their study and suggested that 15 (21.4%) may be false negative, and that these patients may show positive again due to prolonged nucleic acid conversion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izyxY7OJ","properties":{"formattedCitation":"(13)","plainCitation":"(13)","noteIndex":0},"citationItems":[{"id":399,"uris":["http://zotero.org/users/6447875/items/6QXKX8A5"],"uri":["http://zotero.org/users/6447875/items/6QXKX8A5"],"itemData":{"id":399,"type":"article-journal","container-title":"Journal of Medical Virology","DOI":"10.1002/jmv.25855","ISSN":"1096-9071","issue":"10","journalAbbreviation":"J Med Virol","language":"eng","note":"PMID: 32270882\nPMCID: PMC7262304","page":"1755-1756","source":"PubMed","title":"False negative of RT-PCR and prolonged nucleic acid conversion in COVID-19: Rather than recurrence","title-short":"False negative of RT-PCR and prolonged nucleic acid conversion in COVID-19","volume":"92","author":[{"family":"Xiao","given":"Ai Tang"},{"family":"Tong","given":"Yi Xin"},{"family":"Zhang","given":"Sheng"}],"issued":{"date-parts":[["2020",10]]}}}],"schema":"https://github.com/citation-style-language/schema/raw/master/csl-citation.json"}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(13)</w:t>
      </w:r>
      <w:r w:rsidRPr="00CA3081">
        <w:rPr>
          <w:color w:val="000000"/>
          <w:sz w:val="24"/>
          <w:szCs w:val="24"/>
        </w:rPr>
        <w:fldChar w:fldCharType="end"/>
      </w:r>
      <w:r w:rsidRPr="00CA3081">
        <w:rPr>
          <w:iCs/>
          <w:color w:val="000000"/>
          <w:sz w:val="24"/>
          <w:szCs w:val="24"/>
          <w:lang w:val="en-US"/>
        </w:rPr>
        <w:t xml:space="preserve">. Since there were reports on the detection of the virus ,n the upper respiratory tract of the COVID-19 patients for at most 83 days, Falahi and Kenarkoohi reported that positive results after 83 days could be considered reinfection if there was a symptom-free period between them, otherwise it could be considered as a prolonged COVID-19 infection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YkzqYZUq","properties":{"formattedCitation":"(14)","plainCitation":"(14)","noteIndex":0},"citationItems":[{"id":390,"uris":["http://zotero.org/users/6447875/items/SPVKJCGH"],"uri":["http://zotero.org/users/6447875/items/SPVKJCGH"],"itemData":{"id":390,"type":"article-journal","abstract":"The SARS-CoV-2 pandemic is underway and millions of people have been infected. A large number of patients with COVID-19 have recovered and been discharged. While a number of recovered patients test positive again or even have a recurrence of clinical symptoms. Some researchers believe that a positive retest is related to the long-term persistence of the virus in the body, although there is some evidence in favor of reinfection. In this study, we focus more on the possible reasons for positive retesting, antibody responses, and review of possible reinfection case reports.","container-title":"New Microbes and New Infections","DOI":"10.1016/j.nmni.2020.100812","ISSN":"2052-2975","journalAbbreviation":"New Microbes and New Infections","language":"en","page":"100812","source":"ScienceDirect","title":"COVID-19 reinfection: prolonged shedding or true reinfection?","title-short":"COVID-19 reinfection","volume":"38","author":[{"family":"Falahi","given":"S."},{"family":"Kenarkoohi","given":"A."}],"issued":{"date-parts":[["2020",11,1]]}}}],"schema":"https://github.com/citation-style-language/schema/raw/master/csl-citation.json"}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(14)</w:t>
      </w:r>
      <w:r w:rsidRPr="00CA3081">
        <w:rPr>
          <w:color w:val="000000"/>
          <w:sz w:val="24"/>
          <w:szCs w:val="24"/>
        </w:rPr>
        <w:fldChar w:fldCharType="end"/>
      </w:r>
      <w:r w:rsidRPr="00CA3081">
        <w:rPr>
          <w:iCs/>
          <w:color w:val="000000"/>
          <w:sz w:val="24"/>
          <w:szCs w:val="24"/>
          <w:lang w:val="en-US"/>
        </w:rPr>
        <w:t>.</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In a meta-analysis study, Muge Cevik et al. examined 79 COVID-19 studies, and found that the average time to detect virus in upper respiratory tract, lower respiratory tract, feces, and serum as 17 days, 14.6 days, 17.2 days and 16.6 days, respectively. In addition, they noted that the longest duration of time for virus positivity were 83 days, 59 days, 35 days and 60 days, respectively, in the same areas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WXfyeVm9","properties":{"formattedCitation":"(15)","plainCitation":"(15)","noteIndex":0},"citationItems":[{"id":398,"uris":["http://zotero.org/users/6447875/items/3BBLJVPJ"],"uri":["http://zotero.org/users/6447875/items/3BBLJVPJ"],"itemData":{"id":398,"type":"report","abstract":"Background: Viral load kinetics and duration of viral shedding are important determinants for disease transmission. The aim of this review was to characterize viral load dynamics, duration of viral RNA and viable virus shedding of SARS-CoV-2 in various body fluids, and to compare SARS-CoV-2, SARS-CoV-1 and MERS-CoV viral dynamics.Methods: Medline, EMBASE, Europe PMC, medRxiv, bioRxiv, and grey literature from January 1st 2003 to June 6th 2020. Two authors independently extracted data and assessed study quality and risk of bias using the Joanna Briggs Institute Critical Appraisal Checklist tools. PROSPERO registration: CRD42020181914.Findings: Seventy-nine studies on SARS-CoV-2, 8 on SARS-CoV-1, and 11 on MERS-CoV were included. Mean SARS-CoV-2 RNA shedding duration in the upper respiratory tract (URT), lower respiratory tract (LRT), stool and serum were 17.0, 14.6, 17.2 and 16.6 days, respectively. Maximum shedding duration in URT, LRT, stool and serum were 83, 59, 35 and 60 days, respectively. Pooled mean SARS-CoV-2 shedding duration was positively associated with age. No study has detected live virus beyond day nine of illness, despite persistently high viral loads. SARS-CoV-2 viral load in the upper URT appears to peak in the first week of illness, while SARS-CoV-1 and MERS-CoV peak later.Conclusion: Although SARS-CoV-2 RNA shedding in respiratory and stool samples can be prolonged, duration of viable virus is relatively short-lived. SARS-CoV-2 titers in URT peak in the first week of illness. Early case finding and isolation, and public education on the spectrum of illness are key to the effective containment of SARS-CoV-2.Funding Statement: There was no funding for this study.Declaration of Interests: All authors have nothing to disclose.","event-place":"Rochester, NY","genre":"SSRN Scholarly Paper","language":"en","note":"DOI: 10.2139/ssrn.3677918","number":"ID 3677918","publisher":"Social Science Research Network","publisher-place":"Rochester, NY","source":"papers.ssrn.com","title":"SARS-CoV-2, SARS-CoV-1 and MERS-CoV Viral Load Dynamics, Duration of Viral Shedding and Infectiousness: A Living Systematic Review and Meta-Analysis","title-short":"SARS-CoV-2, SARS-CoV-1 and MERS-CoV Viral Load Dynamics, Duration of Viral Shedding and Infectiousness","URL":"https://papers.ssrn.com/abstract=3677918","author":[{"family":"Cevik","given":"Muge"},{"family":"Tate","given":"Matthew"},{"family":"Lloyd","given":"Ollie"},{"family":"Maraolo","given":"Alberto Enrico"},{"family":"Schafers","given":"Jenna"},{"family":"Ho","given":"Antonia"}],"accessed":{"date-parts":[["2021",1,11]]},"issued":{"date-parts":[["2020",10,12]]}}}],"schema":"https://github.com/citation-style-language/schema/raw/master/csl-citation.json"}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(15)</w:t>
      </w:r>
      <w:r w:rsidRPr="00CA3081">
        <w:rPr>
          <w:color w:val="000000"/>
          <w:sz w:val="24"/>
          <w:szCs w:val="24"/>
        </w:rPr>
        <w:fldChar w:fldCharType="end"/>
      </w:r>
      <w:r w:rsidRPr="00CA3081">
        <w:rPr>
          <w:iCs/>
          <w:color w:val="000000"/>
          <w:sz w:val="24"/>
          <w:szCs w:val="24"/>
          <w:lang w:val="en-US"/>
        </w:rPr>
        <w:t>.</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 xml:space="preserve">In our study, 117 patients were found to be tested positive for RT-PCR again within the first 30 days, but 32 patients (16.84%) were RT-PCR positive in their re-admissions after 91 days and above. It is not possible to make a final decision on this issue until there is a guideline to help us to decide which case is a prolonged COVID-19 infection and which case is a reinfection. However, despite the negative RT-PCR test results in upper respiratory tract samples, it may be correct to consider the positive RT-PCR results within the first three months as the manifestation of a prolonged infection due to the fact that the virus can continue to exist in the gastrointestinal tract, and the virus can remain positive for up to 83 days. Moreover, although it is not certain, it is understood that further research and information is needed to consider the new positive test results that will </w:t>
      </w:r>
      <w:r w:rsidRPr="00CA3081">
        <w:rPr>
          <w:iCs/>
          <w:color w:val="000000"/>
          <w:sz w:val="24"/>
          <w:szCs w:val="24"/>
          <w:lang w:val="en-US"/>
        </w:rPr>
        <w:lastRenderedPageBreak/>
        <w:t>occur in hospital admission after the first three months as a recurrent COVID-19 infection.</w:t>
      </w:r>
    </w:p>
    <w:p w:rsidR="00CA3081" w:rsidRPr="00CA3081" w:rsidRDefault="00CA3081" w:rsidP="00CA3081">
      <w:pPr>
        <w:ind w:firstLine="426"/>
        <w:jc w:val="both"/>
        <w:rPr>
          <w:iCs/>
          <w:color w:val="000000"/>
          <w:sz w:val="24"/>
          <w:szCs w:val="24"/>
          <w:lang w:val="en-US"/>
        </w:rPr>
      </w:pPr>
    </w:p>
    <w:p w:rsidR="00CA3081" w:rsidRPr="00CA3081" w:rsidRDefault="00CA3081" w:rsidP="00CA3081">
      <w:pPr>
        <w:ind w:firstLine="426"/>
        <w:jc w:val="both"/>
        <w:rPr>
          <w:color w:val="000000"/>
          <w:sz w:val="24"/>
          <w:szCs w:val="24"/>
          <w:lang w:val="en-US"/>
        </w:rPr>
      </w:pPr>
      <w:r w:rsidRPr="00CA3081">
        <w:rPr>
          <w:iCs/>
          <w:color w:val="000000"/>
          <w:sz w:val="24"/>
          <w:szCs w:val="24"/>
          <w:lang w:val="en-US"/>
        </w:rPr>
        <w:t xml:space="preserve">Tie-Jun Shui et al. noted that patients who tested positive for the second time were mostly mild and moderately severe, while Bo Yuan et al. reported that recurrent positivity was more common in young people and asymptomatic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gYXbTt4B","properties":{"formattedCitation":"(8,9)","plainCitation":"(8,9)","noteIndex":0},"citationItems":[{"id":375,"uris":["http://zotero.org/users/6447875/items/AUR9QULN"],"uri":["http://zotero.org/users/6447875/items/AUR9QULN"],"itemData":{"id":375,"type":"article-journal","abstract":"Two months after the outbreak of coronavirus disease 2019 (COVID-19) in Wuhan, China, tens of thousands of hospitalized patients had recovered, and little is known about the follow-up of the recovered patients.","container-title":"BMC Infectious Diseases","DOI":"10.1186/s12879-020-05463-z","ISSN":"1471-2334","issue":"1","journalAbbreviation":"BMC Infectious Diseases","page":"749","source":"BioMed Central","title":"Characteristics of recovered COVID-19 patients with recurrent positive RT-PCR findings in Wuhan, China: a retrospective study","title-short":"Characteristics of recovered COVID-19 patients with recurrent positive RT-PCR findings in Wuhan, China","volume":"20","author":[{"family":"Shui","given":"Tie-Jun"},{"family":"Li","given":"Chao"},{"family":"Liu","given":"Hong-bing"},{"family":"Chen","given":"Xiaohua"},{"family":"Zhang","given":"Bi-ke"}],"issued":{"date-parts":[["2020",10,13]]}}},{"id":377,"uris":["http://zotero.org/users/6447875/items/44XE4HLT"],"uri":["http://zotero.org/users/6447875/items/44XE4HLT"],"itemData":{"id":377,"type":"article-journal","abstract":"Recently, the recurrence of positive SARS-CoV-2 viral RNA in recovered COVID-19 patients is receiving more attention. Herein we report a cohort study on the follow-up of 182 recovered patients under medical isolation observation. Twenty (10.99%) patients out of the 182 were detected to be SARS-CoV-2 RNA positive (re-positives), although none showed any clinical symptomatic recurrence, indicating that COVID-19 responds well to treatment. Patients aged under 18 years had higher re-positive rates than average, and none of the severely ill patients re-tested positive. There were no significant differences in sex between re-positives and non-re-positives. Notably, most of the re-positives turned negative in the following tests, and all of them carried antibodies against SARS-CoV-2. This indicates that they might not be infectious, although it is still important to perform regular SARS-CoV-2 RNA testing and follow-up for assessment of infectivity. The findings of this study provide information for improving the management of recovered patients, and for differentiating the follow-up of recovered patients with different risk levels.","container-title":"Scientific Reports","DOI":"10.1038/s41598-020-68782-w","ISSN":"2045-2322","issue":"1","language":"en","note":"number: 1\npublisher: Nature Publishing Group","page":"11887","source":"www.nature.com","title":"Recurrence of positive SARS-CoV-2 viral RNA in recovered COVID-19 patients during medical isolation observation","volume":"10","author":[{"family":"Yuan","given":"Bo"},{"family":"Liu","given":"Han-Qing"},{"family":"Yang","given":"Zheng-Rong"},{"family":"Chen","given":"Yong-Xin"},{"family":"Liu","given":"Zhi-Yong"},{"family":"Zhang","given":"Kai"},{"family":"Wang","given":"Cheng"},{"family":"Li","given":"Wei-Xin"},{"family":"An","given":"Ya-Wen"},{"family":"Wang","given":"Jian-Chun"},{"family":"Song","given":"Shuo"}],"issued":{"date-parts":[["2020",7,17]]}}}],"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(8,9)</w:t>
      </w:r>
      <w:r w:rsidRPr="00CA3081">
        <w:rPr>
          <w:color w:val="000000"/>
          <w:sz w:val="24"/>
          <w:szCs w:val="24"/>
        </w:rPr>
        <w:fldChar w:fldCharType="end"/>
      </w:r>
      <w:r w:rsidRPr="00CA3081">
        <w:rPr>
          <w:iCs/>
          <w:color w:val="000000"/>
          <w:sz w:val="24"/>
          <w:szCs w:val="24"/>
          <w:lang w:val="en-US"/>
        </w:rPr>
        <w:t xml:space="preserve">. In line with this, Anna Gidari found that the mortality rate of the patients who were positive again was only 2.1% in her research </w:t>
      </w:r>
      <w:r w:rsidRPr="00CA3081">
        <w:rPr>
          <w:iCs/>
          <w:color w:val="000000"/>
          <w:sz w:val="24"/>
          <w:szCs w:val="24"/>
          <w:lang w:val="en-US"/>
        </w:rPr>
        <w:fldChar w:fldCharType="begin"/>
      </w:r>
      <w:r w:rsidR="005C635D">
        <w:rPr>
          <w:iCs/>
          <w:color w:val="000000"/>
          <w:sz w:val="24"/>
          <w:szCs w:val="24"/>
          <w:lang w:val="en-US"/>
        </w:rPr>
        <w:instrText xml:space="preserve"> ADDIN ZOTERO_ITEM CSL_CITATION {"citationID":"5p5lxlH3","properties":{"formattedCitation":"(16)","plainCitation":"(16)","noteIndex":0},"citationItems":[{"id":376,"uris":["http://zotero.org/users/6447875/items/LP9Q4XY4"],"uri":["http://zotero.org/users/6447875/items/LP9Q4XY4"],"itemData":{"id":376,"type":"article-journal","abstract":"Can a patient diagnosed with severe acute respiratory syndrome coronavirus-2 (SARS-CoV-2) be infected again? This question is still unsolved. We tried to analyze local and literature cases with a positive respiratory swab after recovery. We collected data from symptomatic patients diagnosed with SARS-CoV-2 infection in the Italian Umbria Region that, after recovery, were again positive for SARS-CoV-2 in respiratory tract specimens. Samples were also assessed for infectivity in vitro. A systematic review of similar cases reported in the literature was performed. The study population was composed of 9 patients during a 4-month study period. Among the new positive samples, six were inoculated in Vero-E6 cells and showed no growth and negative molecular test in culture supernatants. All patients were positive for IgG against SARS-CoV-2 nucleoprotein and/or S protein. Conducting a review of the literature, 1350 similar cases have been found. The presumptive reactivation occurred in 34.5 days on average (standard deviation, SD, 18.7 days) after COVID-19 onset, when the 5.6% of patients presented fever and the 27.6% symptoms. The outcome was favorable in 96.7% of patients, while the 1.1% of them were still hospitalized at the time of data collection and the 2.1% died. Several hypotheses have been formulated to explain new positive respiratory samples after confirmed negativity. According to this study, the phenomenon seems to be due to the prolonged detection of SARS-CoV-2 RNA traces in respiratory samples of recovered patients. The failure of the virus to replicate in vitro suggests its inability to replicate in vivo.","container-title":"European Journal of Clinical Microbiology &amp; Infectious Diseases: Official Publication of the European Society of Clinical Microbiology","DOI":"10.1007/s10096-020-04057-6","ISSN":"1435-4373","issue":"1","journalAbbreviation":"Eur J Clin Microbiol Infect Dis","language":"eng","note":"PMID: 33037944\nPMCID: PMC7547550","page":"1-12","source":"PubMed","title":"Is recurrence possible in coronavirus disease 2019 (COVID-19)? Case series and systematic review of literature","title-short":"Is recurrence possible in coronavirus disease 2019 (COVID-19)?","volume":"40","author":[{"family":"Gidari","given":"Anna"},{"family":"Nofri","given":"Marco"},{"family":"Saccarelli","given":"Luca"},{"family":"Bastianelli","given":"Sabrina"},{"family":"Sabbatini","given":"Samuele"},{"family":"Bozza","given":"Silvia"},{"family":"Camilloni","given":"Barbara"},{"family":"Fusco-Moffa","given":"Igino"},{"family":"Monari","given":"Claudia"},{"family":"De Robertis","given":"Edoardo"},{"family":"Mencacci","given":"Antonella"},{"family":"Francisci","given":"Daniela"}],"issued":{"date-parts":[["2021",1]]}}}],"schema":"https://github.com/citation-style-language/schema/raw/master/csl-citation.json"} </w:instrText>
      </w:r>
      <w:r w:rsidRPr="00CA3081">
        <w:rPr>
          <w:iCs/>
          <w:color w:val="000000"/>
          <w:sz w:val="24"/>
          <w:szCs w:val="24"/>
          <w:lang w:val="en-US"/>
        </w:rPr>
        <w:fldChar w:fldCharType="separate"/>
      </w:r>
      <w:r w:rsidR="005C635D" w:rsidRPr="005C635D">
        <w:rPr>
          <w:sz w:val="24"/>
          <w:lang w:val="en-US"/>
        </w:rPr>
        <w:t>(16)</w:t>
      </w:r>
      <w:r w:rsidRPr="00CA3081">
        <w:rPr>
          <w:color w:val="000000"/>
          <w:sz w:val="24"/>
          <w:szCs w:val="24"/>
        </w:rPr>
        <w:fldChar w:fldCharType="end"/>
      </w:r>
      <w:r w:rsidRPr="00CA3081">
        <w:rPr>
          <w:iCs/>
          <w:color w:val="000000"/>
          <w:sz w:val="24"/>
          <w:szCs w:val="24"/>
          <w:lang w:val="en-US"/>
        </w:rPr>
        <w:t>. As a result of the present study, 147 (77.4%) of the patients received outpatient treatment, only 12 patients (6.31%) needed intensive care, and the number of deaths was 7 people (3.68%), which are in line with these results.</w:t>
      </w:r>
      <w:r w:rsidRPr="00CA3081">
        <w:rPr>
          <w:color w:val="000000"/>
          <w:sz w:val="24"/>
          <w:szCs w:val="24"/>
          <w:lang w:val="en-US"/>
        </w:rPr>
        <w:t xml:space="preserve"> </w:t>
      </w:r>
    </w:p>
    <w:p w:rsidR="00CA3081" w:rsidRPr="00CA3081" w:rsidRDefault="00CA3081" w:rsidP="00CA3081">
      <w:pPr>
        <w:ind w:firstLine="426"/>
        <w:jc w:val="both"/>
        <w:rPr>
          <w:color w:val="000000"/>
          <w:sz w:val="24"/>
          <w:szCs w:val="24"/>
          <w:lang w:val="en-US"/>
        </w:rPr>
      </w:pPr>
    </w:p>
    <w:p w:rsidR="00CA3081" w:rsidRPr="00CA3081" w:rsidRDefault="00CA3081" w:rsidP="00CA3081">
      <w:pPr>
        <w:ind w:firstLine="426"/>
        <w:jc w:val="both"/>
        <w:rPr>
          <w:b/>
          <w:iCs/>
          <w:color w:val="000000"/>
          <w:sz w:val="24"/>
          <w:szCs w:val="24"/>
          <w:lang w:val="en-US"/>
        </w:rPr>
      </w:pPr>
      <w:r w:rsidRPr="00CA3081">
        <w:rPr>
          <w:b/>
          <w:iCs/>
          <w:color w:val="000000"/>
          <w:sz w:val="24"/>
          <w:szCs w:val="24"/>
          <w:lang w:val="en-US"/>
        </w:rPr>
        <w:t>CONCLUSION</w:t>
      </w:r>
    </w:p>
    <w:p w:rsidR="00CA3081" w:rsidRPr="00CA3081" w:rsidRDefault="00CA3081" w:rsidP="00CA3081">
      <w:pPr>
        <w:ind w:firstLine="426"/>
        <w:jc w:val="both"/>
        <w:rPr>
          <w:iCs/>
          <w:color w:val="000000"/>
          <w:sz w:val="24"/>
          <w:szCs w:val="24"/>
          <w:lang w:val="en-US"/>
        </w:rPr>
      </w:pPr>
      <w:r w:rsidRPr="00CA3081">
        <w:rPr>
          <w:iCs/>
          <w:color w:val="000000"/>
          <w:sz w:val="24"/>
          <w:szCs w:val="24"/>
          <w:lang w:val="en-US"/>
        </w:rPr>
        <w:t>Recurrent positive RT-PCR can be observed in COVID-19 patients after their discharge. Although it is not yet possible to make a clear decision on whether this recurrent positivity is a symptom of a prolonged infection or a re-infection, it is clear that further research is needed in this regard. Patients who have a recurrent positive result usually survive the disease with outpatient treatment for their mild illness. Hospitalization rates of male patients were higher than those of females, and the duration of hospital stay was found to increase as the age of the patients increases.</w:t>
      </w:r>
    </w:p>
    <w:p w:rsidR="00CA3081" w:rsidRPr="00E5363A" w:rsidRDefault="00CA3081" w:rsidP="00CA3081">
      <w:pPr>
        <w:ind w:firstLine="426"/>
        <w:jc w:val="both"/>
        <w:rPr>
          <w:b/>
          <w:bCs/>
          <w:lang w:val="id-ID"/>
        </w:rPr>
      </w:pPr>
      <w:r>
        <w:rPr>
          <w:color w:val="000000"/>
          <w:sz w:val="24"/>
          <w:szCs w:val="24"/>
        </w:rPr>
        <w:t xml:space="preserve"> </w:t>
      </w:r>
    </w:p>
    <w:p w:rsidR="00E3045B" w:rsidRDefault="00E3045B">
      <w:pPr>
        <w:pStyle w:val="Balk1"/>
        <w:ind w:left="0"/>
      </w:pPr>
    </w:p>
    <w:p w:rsidR="00AD6F56" w:rsidRDefault="00E5363A">
      <w:pPr>
        <w:pStyle w:val="Balk1"/>
        <w:ind w:left="0"/>
      </w:pPr>
      <w:r>
        <w:t>REFERENCES</w:t>
      </w:r>
    </w:p>
    <w:p w:rsidR="005C635D" w:rsidRPr="005C635D" w:rsidRDefault="005C635D" w:rsidP="005C635D">
      <w:pPr>
        <w:pStyle w:val="Kaynaka"/>
        <w:rPr>
          <w:sz w:val="24"/>
        </w:rPr>
      </w:pPr>
      <w:r>
        <w:fldChar w:fldCharType="begin"/>
      </w:r>
      <w:r>
        <w:instrText xml:space="preserve"> ADDIN ZOTERO_BIBL {"uncited":[],"omitted":[],"custom":[]} CSL_BIBLIOGRAPHY </w:instrText>
      </w:r>
      <w:r>
        <w:fldChar w:fldCharType="separate"/>
      </w:r>
      <w:r w:rsidRPr="005C635D">
        <w:rPr>
          <w:sz w:val="24"/>
        </w:rPr>
        <w:t xml:space="preserve">1. </w:t>
      </w:r>
      <w:r w:rsidRPr="005C635D">
        <w:rPr>
          <w:sz w:val="24"/>
        </w:rPr>
        <w:tab/>
        <w:t xml:space="preserve">Katewongsa P, Widyastari DA, Saonuam P, Haemathulin N, Wongsingha N. The effects of the COVID-19 pandemic on the physical activity of the Thai population: Evidence from Thailand’s Surveillance on Physical Activity 2020. Journal of Sport and Health Science. 2020 Oct;S2095254620301344. </w:t>
      </w:r>
    </w:p>
    <w:p w:rsidR="005C635D" w:rsidRPr="005C635D" w:rsidRDefault="005C635D" w:rsidP="005C635D">
      <w:pPr>
        <w:pStyle w:val="Kaynaka"/>
        <w:rPr>
          <w:sz w:val="24"/>
        </w:rPr>
      </w:pPr>
      <w:r w:rsidRPr="005C635D">
        <w:rPr>
          <w:sz w:val="24"/>
        </w:rPr>
        <w:t xml:space="preserve">2. </w:t>
      </w:r>
      <w:r w:rsidRPr="005C635D">
        <w:rPr>
          <w:sz w:val="24"/>
        </w:rPr>
        <w:tab/>
        <w:t xml:space="preserve">Nicola M, Alsafi Z, Sohrabi C, Kerwan A, Al-Jabir A, Iosifidis C, et al. The socio-economic implications of the </w:t>
      </w:r>
      <w:r w:rsidRPr="005C635D">
        <w:rPr>
          <w:sz w:val="24"/>
        </w:rPr>
        <w:lastRenderedPageBreak/>
        <w:t xml:space="preserve">coronavirus pandemic (COVID-19): A review. Int J Surg. 2020 Jun;78:185–93. </w:t>
      </w:r>
    </w:p>
    <w:p w:rsidR="005C635D" w:rsidRPr="005C635D" w:rsidRDefault="005C635D" w:rsidP="005C635D">
      <w:pPr>
        <w:pStyle w:val="Kaynaka"/>
        <w:rPr>
          <w:sz w:val="24"/>
        </w:rPr>
      </w:pPr>
      <w:r w:rsidRPr="005C635D">
        <w:rPr>
          <w:sz w:val="24"/>
        </w:rPr>
        <w:t xml:space="preserve">3. </w:t>
      </w:r>
      <w:r w:rsidRPr="005C635D">
        <w:rPr>
          <w:sz w:val="24"/>
        </w:rPr>
        <w:tab/>
        <w:t xml:space="preserve">Cacciapaglia G, Cot C, Sannino F. Second wave COVID-19 pandemics in Europe: a temporal playbook. Sci Rep. 2020 Dec;10(1):15514. </w:t>
      </w:r>
    </w:p>
    <w:p w:rsidR="005C635D" w:rsidRPr="005C635D" w:rsidRDefault="005C635D" w:rsidP="005C635D">
      <w:pPr>
        <w:pStyle w:val="Kaynaka"/>
        <w:rPr>
          <w:sz w:val="24"/>
        </w:rPr>
      </w:pPr>
      <w:r w:rsidRPr="005C635D">
        <w:rPr>
          <w:sz w:val="24"/>
        </w:rPr>
        <w:t xml:space="preserve">4. </w:t>
      </w:r>
      <w:r w:rsidRPr="005C635D">
        <w:rPr>
          <w:sz w:val="24"/>
        </w:rPr>
        <w:tab/>
        <w:t xml:space="preserve">Sharma O, Sultan AA, Ding H, Triggle CR. A Review of the Progress and Challenges of Developing a Vaccine for COVID-19. Front Immunol. 2020 Oct 14;11:585354. </w:t>
      </w:r>
    </w:p>
    <w:p w:rsidR="005C635D" w:rsidRPr="005C635D" w:rsidRDefault="005C635D" w:rsidP="005C635D">
      <w:pPr>
        <w:pStyle w:val="Kaynaka"/>
        <w:rPr>
          <w:sz w:val="24"/>
        </w:rPr>
      </w:pPr>
      <w:r w:rsidRPr="005C635D">
        <w:rPr>
          <w:sz w:val="24"/>
        </w:rPr>
        <w:t xml:space="preserve">5. </w:t>
      </w:r>
      <w:r w:rsidRPr="005C635D">
        <w:rPr>
          <w:sz w:val="24"/>
        </w:rPr>
        <w:tab/>
        <w:t xml:space="preserve">Lan L, Xu D, Ye G, Xia C, Wang S, Li Y, et al. Positive RT-PCR Test Results in Patients Recovered From COVID-19. JAMA. 2020 Apr 21;323(15):1502. </w:t>
      </w:r>
    </w:p>
    <w:p w:rsidR="005C635D" w:rsidRPr="005C635D" w:rsidRDefault="005C635D" w:rsidP="005C635D">
      <w:pPr>
        <w:pStyle w:val="Kaynaka"/>
        <w:rPr>
          <w:sz w:val="24"/>
        </w:rPr>
      </w:pPr>
      <w:r w:rsidRPr="005C635D">
        <w:rPr>
          <w:sz w:val="24"/>
        </w:rPr>
        <w:t xml:space="preserve">6. </w:t>
      </w:r>
      <w:r w:rsidRPr="005C635D">
        <w:rPr>
          <w:sz w:val="24"/>
        </w:rPr>
        <w:tab/>
        <w:t xml:space="preserve">George D, Mallery P. IBM SPSS statistics 25 step by step: a simple guide and reference. Fifteenth edition. New York ; London: Routledge, Taylor &amp; Francis Group; 2019. 404 p. </w:t>
      </w:r>
    </w:p>
    <w:p w:rsidR="005C635D" w:rsidRPr="005C635D" w:rsidRDefault="005C635D" w:rsidP="005C635D">
      <w:pPr>
        <w:pStyle w:val="Kaynaka"/>
        <w:rPr>
          <w:sz w:val="24"/>
        </w:rPr>
      </w:pPr>
      <w:r w:rsidRPr="005C635D">
        <w:rPr>
          <w:sz w:val="24"/>
        </w:rPr>
        <w:t xml:space="preserve">7. </w:t>
      </w:r>
      <w:r w:rsidRPr="005C635D">
        <w:rPr>
          <w:sz w:val="24"/>
        </w:rPr>
        <w:tab/>
        <w:t xml:space="preserve">Azam M, Sulistiana R, Ratnawati M, Fibriana AI, Bahrudin U, Widyaningrum D, et al. Recurrent SARS-CoV-2 RNA positivity after COVID-19: a systematic review and meta-analysis. Scientific Reports. 2020 Nov 26;10(1):20692. </w:t>
      </w:r>
    </w:p>
    <w:p w:rsidR="005C635D" w:rsidRPr="005C635D" w:rsidRDefault="005C635D" w:rsidP="005C635D">
      <w:pPr>
        <w:pStyle w:val="Kaynaka"/>
        <w:rPr>
          <w:sz w:val="24"/>
        </w:rPr>
      </w:pPr>
      <w:r w:rsidRPr="005C635D">
        <w:rPr>
          <w:sz w:val="24"/>
        </w:rPr>
        <w:t xml:space="preserve">8. </w:t>
      </w:r>
      <w:r w:rsidRPr="005C635D">
        <w:rPr>
          <w:sz w:val="24"/>
        </w:rPr>
        <w:tab/>
        <w:t xml:space="preserve">Yuan B, Liu H-Q, Yang Z-R, Chen Y-X, Liu Z-Y, Zhang K, et al. Recurrence of positive SARS-CoV-2 viral RNA in recovered COVID-19 patients during medical isolation observation. Scientific Reports. 2020 Jul 17;10(1):11887. </w:t>
      </w:r>
    </w:p>
    <w:p w:rsidR="005C635D" w:rsidRPr="005C635D" w:rsidRDefault="005C635D" w:rsidP="005C635D">
      <w:pPr>
        <w:pStyle w:val="Kaynaka"/>
        <w:rPr>
          <w:sz w:val="24"/>
        </w:rPr>
      </w:pPr>
      <w:r w:rsidRPr="005C635D">
        <w:rPr>
          <w:sz w:val="24"/>
        </w:rPr>
        <w:t xml:space="preserve">9. </w:t>
      </w:r>
      <w:r w:rsidRPr="005C635D">
        <w:rPr>
          <w:sz w:val="24"/>
        </w:rPr>
        <w:tab/>
        <w:t xml:space="preserve">Shui T-J, Li C, Liu H, Chen X, Zhang B. Characteristics of recovered COVID-19 patients with recurrent positive RT-PCR findings in Wuhan, China: a retrospective study. BMC Infectious Diseases. 2020 Oct 13;20(1):749. </w:t>
      </w:r>
    </w:p>
    <w:p w:rsidR="005C635D" w:rsidRPr="005C635D" w:rsidRDefault="005C635D" w:rsidP="005C635D">
      <w:pPr>
        <w:pStyle w:val="Kaynaka"/>
        <w:rPr>
          <w:sz w:val="24"/>
        </w:rPr>
      </w:pPr>
      <w:r w:rsidRPr="005C635D">
        <w:rPr>
          <w:sz w:val="24"/>
        </w:rPr>
        <w:t xml:space="preserve">10. </w:t>
      </w:r>
      <w:r w:rsidRPr="005C635D">
        <w:rPr>
          <w:sz w:val="24"/>
        </w:rPr>
        <w:tab/>
        <w:t xml:space="preserve">Hoang T. Characteristics of COVID-19 recurrence: a systematic review and meta-analysis [Internet]. Infectious Diseases (except HIV/AIDS); 2020 Sep </w:t>
      </w:r>
      <w:r w:rsidRPr="005C635D">
        <w:rPr>
          <w:sz w:val="24"/>
        </w:rPr>
        <w:lastRenderedPageBreak/>
        <w:t>[cited 2021 Jan 7]. Available from: http://medrxiv.org/lookup/doi/10.1101/2020.09.05.20189134</w:t>
      </w:r>
    </w:p>
    <w:p w:rsidR="005C635D" w:rsidRPr="005C635D" w:rsidRDefault="005C635D" w:rsidP="005C635D">
      <w:pPr>
        <w:pStyle w:val="Kaynaka"/>
        <w:rPr>
          <w:sz w:val="24"/>
        </w:rPr>
      </w:pPr>
      <w:r w:rsidRPr="005C635D">
        <w:rPr>
          <w:sz w:val="24"/>
        </w:rPr>
        <w:t xml:space="preserve">11. </w:t>
      </w:r>
      <w:r w:rsidRPr="005C635D">
        <w:rPr>
          <w:sz w:val="24"/>
        </w:rPr>
        <w:tab/>
        <w:t xml:space="preserve">Woloshin S, Patel N, Kesselheim AS. False Negative Tests for SARS-CoV-2 Infection - Challenges and Implications. N Engl J Med. 2020 Aug 6;383(6):e38. </w:t>
      </w:r>
    </w:p>
    <w:p w:rsidR="005C635D" w:rsidRPr="005C635D" w:rsidRDefault="005C635D" w:rsidP="005C635D">
      <w:pPr>
        <w:pStyle w:val="Kaynaka"/>
        <w:rPr>
          <w:sz w:val="24"/>
        </w:rPr>
      </w:pPr>
      <w:r w:rsidRPr="005C635D">
        <w:rPr>
          <w:sz w:val="24"/>
        </w:rPr>
        <w:t xml:space="preserve">12. </w:t>
      </w:r>
      <w:r w:rsidRPr="005C635D">
        <w:rPr>
          <w:sz w:val="24"/>
        </w:rPr>
        <w:tab/>
        <w:t xml:space="preserve">Tao W, Wang X, Zhang G, Guo M, Ma H, Zhao D, et al. Re-detectable positive SARS-CoV-2 RNA tests in patients who recovered from COVID-19 with intestinal infection. Protein Cell. 2020 Sep 26; </w:t>
      </w:r>
    </w:p>
    <w:p w:rsidR="005C635D" w:rsidRPr="005C635D" w:rsidRDefault="005C635D" w:rsidP="005C635D">
      <w:pPr>
        <w:pStyle w:val="Kaynaka"/>
        <w:rPr>
          <w:sz w:val="24"/>
        </w:rPr>
      </w:pPr>
      <w:r w:rsidRPr="005C635D">
        <w:rPr>
          <w:sz w:val="24"/>
        </w:rPr>
        <w:t xml:space="preserve">13. </w:t>
      </w:r>
      <w:r w:rsidRPr="005C635D">
        <w:rPr>
          <w:sz w:val="24"/>
        </w:rPr>
        <w:tab/>
        <w:t xml:space="preserve">Xiao AT, Tong YX, Zhang S. False negative of RT-PCR and prolonged nucleic acid conversion in COVID-19: Rather than recurrence. J Med Virol. 2020 Oct;92(10):1755–6. </w:t>
      </w:r>
    </w:p>
    <w:p w:rsidR="005C635D" w:rsidRPr="005C635D" w:rsidRDefault="005C635D" w:rsidP="005C635D">
      <w:pPr>
        <w:pStyle w:val="Kaynaka"/>
        <w:rPr>
          <w:sz w:val="24"/>
        </w:rPr>
      </w:pPr>
      <w:r w:rsidRPr="005C635D">
        <w:rPr>
          <w:sz w:val="24"/>
        </w:rPr>
        <w:t xml:space="preserve">14. </w:t>
      </w:r>
      <w:r w:rsidRPr="005C635D">
        <w:rPr>
          <w:sz w:val="24"/>
        </w:rPr>
        <w:tab/>
        <w:t xml:space="preserve">Falahi S, Kenarkoohi A. COVID-19 reinfection: prolonged shedding or true reinfection? New Microbes and New Infections. 2020 Nov 1;38:100812. </w:t>
      </w:r>
    </w:p>
    <w:p w:rsidR="005C635D" w:rsidRPr="005C635D" w:rsidRDefault="005C635D" w:rsidP="005C635D">
      <w:pPr>
        <w:pStyle w:val="Kaynaka"/>
        <w:rPr>
          <w:sz w:val="24"/>
        </w:rPr>
      </w:pPr>
      <w:r w:rsidRPr="005C635D">
        <w:rPr>
          <w:sz w:val="24"/>
        </w:rPr>
        <w:t xml:space="preserve">15. </w:t>
      </w:r>
      <w:r w:rsidRPr="005C635D">
        <w:rPr>
          <w:sz w:val="24"/>
        </w:rPr>
        <w:tab/>
        <w:t>Cevik M, Tate M, Lloyd O, Maraolo AE, Schafers J, Ho A. SARS-CoV-2, SARS-CoV-1 and MERS-CoV Viral Load Dynamics, Duration of Viral Shedding and Infectiousness: A Living Systematic Review and Meta-Analysis [Internet]. Rochester, NY: Social Science Research Network; 2020 Oct [cited 2021 Jan 11]. Report No.: ID 3677918. Available from: https://papers.ssrn.com/abstract=3677918</w:t>
      </w:r>
    </w:p>
    <w:p w:rsidR="005C635D" w:rsidRPr="005C635D" w:rsidRDefault="005C635D" w:rsidP="005C635D">
      <w:pPr>
        <w:pStyle w:val="Kaynaka"/>
        <w:rPr>
          <w:sz w:val="24"/>
        </w:rPr>
      </w:pPr>
      <w:r w:rsidRPr="005C635D">
        <w:rPr>
          <w:sz w:val="24"/>
        </w:rPr>
        <w:t xml:space="preserve">16. </w:t>
      </w:r>
      <w:r w:rsidRPr="005C635D">
        <w:rPr>
          <w:sz w:val="24"/>
        </w:rPr>
        <w:tab/>
        <w:t xml:space="preserve">Gidari A, Nofri M, Saccarelli L, Bastianelli S, Sabbatini S, Bozza S, et al. Is recurrence possible in coronavirus disease 2019 (COVID-19)? Case series and systematic review of literature. Eur J Clin Microbiol Infect Dis. 2021 Jan;40(1):1–12. </w:t>
      </w:r>
    </w:p>
    <w:p w:rsidR="00AD6F56" w:rsidRPr="004F4794" w:rsidRDefault="005C635D" w:rsidP="004F4794">
      <w:pPr>
        <w:pStyle w:val="GvdeMetni"/>
        <w:spacing w:before="89"/>
        <w:ind w:left="0" w:right="89" w:firstLine="426"/>
      </w:pPr>
      <w:r>
        <w:fldChar w:fldCharType="end"/>
      </w:r>
      <w:bookmarkStart w:id="0" w:name="_GoBack"/>
      <w:bookmarkEnd w:id="0"/>
    </w:p>
    <w:sectPr w:rsidR="00AD6F56" w:rsidRPr="004F4794" w:rsidSect="0058179D">
      <w:type w:val="continuous"/>
      <w:pgSz w:w="11906" w:h="16838"/>
      <w:pgMar w:top="1440" w:right="1077" w:bottom="1440" w:left="1077" w:header="710" w:footer="276" w:gutter="0"/>
      <w:cols w:num="2" w:space="99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4DC" w:rsidRDefault="00C234DC">
      <w:r>
        <w:separator/>
      </w:r>
    </w:p>
  </w:endnote>
  <w:endnote w:type="continuationSeparator" w:id="0">
    <w:p w:rsidR="00C234DC" w:rsidRDefault="00C2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91" w:rsidRDefault="006A7E9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03622"/>
      <w:docPartObj>
        <w:docPartGallery w:val="Page Numbers (Bottom of Page)"/>
        <w:docPartUnique/>
      </w:docPartObj>
    </w:sdtPr>
    <w:sdtEndPr>
      <w:rPr>
        <w:noProof/>
      </w:rPr>
    </w:sdtEndPr>
    <w:sdtContent>
      <w:p w:rsidR="006A7E91" w:rsidRPr="008C1544" w:rsidRDefault="006A7E91" w:rsidP="006A7E91">
        <w:pPr>
          <w:pStyle w:val="AltBilgi"/>
        </w:pPr>
      </w:p>
      <w:p w:rsidR="006A7E91" w:rsidRDefault="006A7E91" w:rsidP="006A7E91">
        <w:pPr>
          <w:pStyle w:val="AltBilgi"/>
        </w:pPr>
      </w:p>
      <w:p w:rsidR="006A7E91" w:rsidRDefault="006A7E91" w:rsidP="006A7E91">
        <w:pPr>
          <w:pStyle w:val="AltBilgi"/>
          <w:rPr>
            <w:noProof/>
          </w:rPr>
        </w:pPr>
        <w:r w:rsidRPr="008C1544">
          <w:t>Vol. 14 No 1 2020</w:t>
        </w:r>
        <w:r w:rsidRPr="008C1544">
          <w:rPr>
            <w:shd w:val="clear" w:color="auto" w:fill="FFFFFF"/>
          </w:rPr>
          <w:t xml:space="preserve"> DOI: </w:t>
        </w:r>
        <w:r w:rsidRPr="008C1544">
          <w:rPr>
            <w:rStyle w:val="Kpr"/>
            <w:color w:val="auto"/>
            <w:u w:val="none"/>
            <w:shd w:val="clear" w:color="auto" w:fill="FFFFFF"/>
          </w:rPr>
          <w:t xml:space="preserve">                                 </w:t>
        </w:r>
        <w:r>
          <w:rPr>
            <w:rStyle w:val="Kpr"/>
            <w:color w:val="auto"/>
            <w:u w:val="none"/>
            <w:shd w:val="clear" w:color="auto" w:fill="FFFFFF"/>
          </w:rPr>
          <w:t xml:space="preserve">                                                                         </w:t>
        </w:r>
        <w:r w:rsidRPr="008C1544">
          <w:rPr>
            <w:rStyle w:val="Kpr"/>
            <w:color w:val="auto"/>
            <w:u w:val="none"/>
            <w:shd w:val="clear" w:color="auto" w:fill="FFFFFF"/>
          </w:rPr>
          <w:t xml:space="preserve">                             </w:t>
        </w:r>
        <w:r>
          <w:fldChar w:fldCharType="begin"/>
        </w:r>
        <w:r>
          <w:instrText xml:space="preserve"> PAGE   \* MERGEFORMAT </w:instrText>
        </w:r>
        <w:r>
          <w:fldChar w:fldCharType="separate"/>
        </w:r>
        <w:r w:rsidR="005C635D">
          <w:rPr>
            <w:noProof/>
          </w:rPr>
          <w:t>6</w:t>
        </w:r>
        <w:r>
          <w:rPr>
            <w:noProof/>
          </w:rPr>
          <w:fldChar w:fldCharType="end"/>
        </w:r>
      </w:p>
    </w:sdtContent>
  </w:sdt>
  <w:p w:rsidR="006A7E91" w:rsidRDefault="006A7E9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91" w:rsidRDefault="006A7E9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4DC" w:rsidRDefault="00C234DC">
      <w:r>
        <w:separator/>
      </w:r>
    </w:p>
  </w:footnote>
  <w:footnote w:type="continuationSeparator" w:id="0">
    <w:p w:rsidR="00C234DC" w:rsidRDefault="00C234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91" w:rsidRDefault="006A7E9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AAE" w:rsidRPr="00054A4E" w:rsidRDefault="004B2AAE" w:rsidP="004B2AAE">
    <w:pPr>
      <w:rPr>
        <w:color w:val="000000"/>
        <w:sz w:val="20"/>
      </w:rPr>
    </w:pPr>
    <w:r>
      <w:rPr>
        <w:color w:val="000000"/>
        <w:sz w:val="20"/>
      </w:rPr>
      <w:t xml:space="preserve">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    </w:t>
    </w:r>
    <w:r w:rsidRPr="00DA26EB">
      <w:rPr>
        <w:color w:val="000000"/>
        <w:sz w:val="20"/>
      </w:rPr>
      <w:t xml:space="preserve">Jurnal Profesi Medika : Jurnal Kedokteran dan </w:t>
    </w:r>
    <w:r>
      <w:rPr>
        <w:color w:val="000000"/>
        <w:sz w:val="20"/>
      </w:rPr>
      <w:t xml:space="preserve">                            </w:t>
    </w:r>
    <w:r w:rsidRPr="00DA26EB">
      <w:rPr>
        <w:color w:val="000000"/>
        <w:sz w:val="20"/>
      </w:rPr>
      <w:t>ISSN 0216-3438</w:t>
    </w:r>
    <w:r w:rsidRPr="00DA26EB">
      <w:rPr>
        <w:color w:val="000000"/>
        <w:sz w:val="20"/>
        <w:lang w:val="en-US"/>
      </w:rPr>
      <w:t xml:space="preserve"> (Print)</w:t>
    </w:r>
    <w:r w:rsidRPr="00DA26EB">
      <w:rPr>
        <w:color w:val="000000"/>
        <w:sz w:val="20"/>
      </w:rPr>
      <w:t xml:space="preserve">. </w:t>
    </w:r>
    <w:r w:rsidRPr="00DA26EB">
      <w:rPr>
        <w:color w:val="000000"/>
        <w:sz w:val="20"/>
        <w:lang w:val="en-US"/>
      </w:rPr>
      <w:t xml:space="preserve">ISSN </w:t>
    </w:r>
    <w:r w:rsidRPr="00DA26EB">
      <w:rPr>
        <w:color w:val="000000"/>
        <w:sz w:val="20"/>
      </w:rPr>
      <w:t>2621-1122</w:t>
    </w:r>
    <w:r w:rsidRPr="00DA26EB">
      <w:rPr>
        <w:color w:val="000000"/>
        <w:sz w:val="20"/>
        <w:lang w:val="en-US"/>
      </w:rPr>
      <w:t xml:space="preserve"> (Online)</w:t>
    </w:r>
    <w:r>
      <w:rPr>
        <w:color w:val="000000"/>
        <w:sz w:val="20"/>
      </w:rPr>
      <w:t xml:space="preserve">                                                                                               </w:t>
    </w:r>
    <w:r w:rsidRPr="00DA26EB">
      <w:rPr>
        <w:color w:val="000000"/>
        <w:sz w:val="20"/>
      </w:rPr>
      <w:t>Kesehatan</w:t>
    </w:r>
  </w:p>
  <w:p w:rsidR="004B2AAE" w:rsidRDefault="004B2AA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91" w:rsidRDefault="006A7E9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56"/>
    <w:rsid w:val="0045105C"/>
    <w:rsid w:val="004A31D0"/>
    <w:rsid w:val="004B2AAE"/>
    <w:rsid w:val="004F4794"/>
    <w:rsid w:val="00534F1E"/>
    <w:rsid w:val="0058179D"/>
    <w:rsid w:val="00596417"/>
    <w:rsid w:val="005C635D"/>
    <w:rsid w:val="00602DB5"/>
    <w:rsid w:val="00612D1D"/>
    <w:rsid w:val="00671B26"/>
    <w:rsid w:val="006A7E91"/>
    <w:rsid w:val="008830CC"/>
    <w:rsid w:val="00891745"/>
    <w:rsid w:val="009267F5"/>
    <w:rsid w:val="00961382"/>
    <w:rsid w:val="009A4942"/>
    <w:rsid w:val="00A449BD"/>
    <w:rsid w:val="00AD6F56"/>
    <w:rsid w:val="00AE5F39"/>
    <w:rsid w:val="00B27FAB"/>
    <w:rsid w:val="00BF7A81"/>
    <w:rsid w:val="00C234DC"/>
    <w:rsid w:val="00CA3081"/>
    <w:rsid w:val="00DF2A46"/>
    <w:rsid w:val="00E03157"/>
    <w:rsid w:val="00E3045B"/>
    <w:rsid w:val="00E5363A"/>
    <w:rsid w:val="00FB4B0B"/>
  </w:rsids>
  <m:mathPr>
    <m:mathFont m:val="Cambria Math"/>
    <m:brkBin m:val="before"/>
    <m:brkBinSub m:val="--"/>
    <m:smallFrac m:val="0"/>
    <m:dispDef/>
    <m:lMargin m:val="0"/>
    <m:rMargin m:val="0"/>
    <m:defJc m:val="centerGroup"/>
    <m:wrapIndent m:val="1440"/>
    <m:intLim m:val="subSup"/>
    <m:naryLim m:val="undOvr"/>
  </m:mathPr>
  <w:themeFontLang w:val="id-ID"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50022"/>
  <w15:docId w15:val="{FDCF240D-52D2-4002-ACD6-F0A41F4A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2C70"/>
    <w:rPr>
      <w:rFonts w:ascii="Times New Roman" w:eastAsia="Times New Roman" w:hAnsi="Times New Roman" w:cs="Times New Roman"/>
      <w:lang w:val="en-GB" w:eastAsia="en-GB" w:bidi="en-GB"/>
    </w:rPr>
  </w:style>
  <w:style w:type="paragraph" w:styleId="Balk1">
    <w:name w:val="heading 1"/>
    <w:basedOn w:val="Normal"/>
    <w:uiPriority w:val="1"/>
    <w:qFormat/>
    <w:rsid w:val="00FE2C70"/>
    <w:pPr>
      <w:ind w:left="100"/>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A17C5A"/>
    <w:rPr>
      <w:rFonts w:ascii="Times New Roman" w:eastAsia="Times New Roman" w:hAnsi="Times New Roman" w:cs="Times New Roman"/>
      <w:lang w:val="en-GB" w:eastAsia="en-GB" w:bidi="en-GB"/>
    </w:rPr>
  </w:style>
  <w:style w:type="character" w:customStyle="1" w:styleId="AltBilgiChar">
    <w:name w:val="Alt Bilgi Char"/>
    <w:basedOn w:val="VarsaylanParagrafYazTipi"/>
    <w:link w:val="AltBilgi"/>
    <w:uiPriority w:val="99"/>
    <w:qFormat/>
    <w:rsid w:val="00A17C5A"/>
    <w:rPr>
      <w:rFonts w:ascii="Times New Roman" w:eastAsia="Times New Roman" w:hAnsi="Times New Roman" w:cs="Times New Roman"/>
      <w:lang w:val="en-GB" w:eastAsia="en-GB" w:bidi="en-GB"/>
    </w:rPr>
  </w:style>
  <w:style w:type="character" w:customStyle="1" w:styleId="BalonMetniChar">
    <w:name w:val="Balon Metni Char"/>
    <w:basedOn w:val="VarsaylanParagrafYazTipi"/>
    <w:link w:val="BalonMetni"/>
    <w:uiPriority w:val="99"/>
    <w:semiHidden/>
    <w:qFormat/>
    <w:rsid w:val="00A17C5A"/>
    <w:rPr>
      <w:rFonts w:ascii="Tahoma" w:eastAsia="Times New Roman" w:hAnsi="Tahoma" w:cs="Tahoma"/>
      <w:sz w:val="16"/>
      <w:szCs w:val="16"/>
      <w:lang w:val="en-GB" w:eastAsia="en-GB" w:bidi="en-GB"/>
    </w:rPr>
  </w:style>
  <w:style w:type="character" w:customStyle="1" w:styleId="ListLabel1">
    <w:name w:val="ListLabel 1"/>
    <w:qFormat/>
    <w:rPr>
      <w:rFonts w:eastAsia="Times New Roman" w:cs="Times New Roman"/>
      <w:spacing w:val="-25"/>
      <w:w w:val="99"/>
      <w:sz w:val="24"/>
      <w:szCs w:val="24"/>
      <w:lang w:val="en-GB" w:eastAsia="en-GB" w:bidi="en-GB"/>
    </w:rPr>
  </w:style>
  <w:style w:type="character" w:customStyle="1" w:styleId="ListLabel2">
    <w:name w:val="ListLabel 2"/>
    <w:qFormat/>
    <w:rPr>
      <w:lang w:val="en-GB" w:eastAsia="en-GB" w:bidi="en-GB"/>
    </w:rPr>
  </w:style>
  <w:style w:type="character" w:customStyle="1" w:styleId="ListLabel3">
    <w:name w:val="ListLabel 3"/>
    <w:qFormat/>
    <w:rPr>
      <w:lang w:val="en-GB" w:eastAsia="en-GB" w:bidi="en-GB"/>
    </w:rPr>
  </w:style>
  <w:style w:type="character" w:customStyle="1" w:styleId="ListLabel4">
    <w:name w:val="ListLabel 4"/>
    <w:qFormat/>
    <w:rPr>
      <w:lang w:val="en-GB" w:eastAsia="en-GB" w:bidi="en-GB"/>
    </w:rPr>
  </w:style>
  <w:style w:type="character" w:customStyle="1" w:styleId="ListLabel5">
    <w:name w:val="ListLabel 5"/>
    <w:qFormat/>
    <w:rPr>
      <w:lang w:val="en-GB" w:eastAsia="en-GB" w:bidi="en-GB"/>
    </w:rPr>
  </w:style>
  <w:style w:type="character" w:customStyle="1" w:styleId="ListLabel6">
    <w:name w:val="ListLabel 6"/>
    <w:qFormat/>
    <w:rPr>
      <w:lang w:val="en-GB" w:eastAsia="en-GB" w:bidi="en-GB"/>
    </w:rPr>
  </w:style>
  <w:style w:type="character" w:customStyle="1" w:styleId="ListLabel7">
    <w:name w:val="ListLabel 7"/>
    <w:qFormat/>
    <w:rPr>
      <w:lang w:val="en-GB" w:eastAsia="en-GB" w:bidi="en-GB"/>
    </w:rPr>
  </w:style>
  <w:style w:type="character" w:customStyle="1" w:styleId="ListLabel8">
    <w:name w:val="ListLabel 8"/>
    <w:qFormat/>
    <w:rPr>
      <w:lang w:val="en-GB" w:eastAsia="en-GB" w:bidi="en-GB"/>
    </w:rPr>
  </w:style>
  <w:style w:type="character" w:customStyle="1" w:styleId="ListLabel9">
    <w:name w:val="ListLabel 9"/>
    <w:qFormat/>
    <w:rPr>
      <w:lang w:val="en-GB" w:eastAsia="en-GB" w:bidi="en-GB"/>
    </w:rPr>
  </w:style>
  <w:style w:type="character" w:customStyle="1" w:styleId="ListLabel10">
    <w:name w:val="ListLabel 10"/>
    <w:qFormat/>
    <w:rPr>
      <w:rFonts w:eastAsia="Times New Roman" w:cs="Times New Roman"/>
      <w:spacing w:val="-6"/>
      <w:w w:val="99"/>
      <w:sz w:val="24"/>
      <w:szCs w:val="24"/>
      <w:lang w:val="en-GB" w:eastAsia="en-GB" w:bidi="en-GB"/>
    </w:rPr>
  </w:style>
  <w:style w:type="character" w:customStyle="1" w:styleId="ListLabel11">
    <w:name w:val="ListLabel 11"/>
    <w:qFormat/>
    <w:rPr>
      <w:lang w:val="en-GB" w:eastAsia="en-GB" w:bidi="en-GB"/>
    </w:rPr>
  </w:style>
  <w:style w:type="character" w:customStyle="1" w:styleId="ListLabel12">
    <w:name w:val="ListLabel 12"/>
    <w:qFormat/>
    <w:rPr>
      <w:lang w:val="en-GB" w:eastAsia="en-GB" w:bidi="en-GB"/>
    </w:rPr>
  </w:style>
  <w:style w:type="character" w:customStyle="1" w:styleId="ListLabel13">
    <w:name w:val="ListLabel 13"/>
    <w:qFormat/>
    <w:rPr>
      <w:lang w:val="en-GB" w:eastAsia="en-GB" w:bidi="en-GB"/>
    </w:rPr>
  </w:style>
  <w:style w:type="character" w:customStyle="1" w:styleId="ListLabel14">
    <w:name w:val="ListLabel 14"/>
    <w:qFormat/>
    <w:rPr>
      <w:lang w:val="en-GB" w:eastAsia="en-GB" w:bidi="en-GB"/>
    </w:rPr>
  </w:style>
  <w:style w:type="character" w:customStyle="1" w:styleId="ListLabel15">
    <w:name w:val="ListLabel 15"/>
    <w:qFormat/>
    <w:rPr>
      <w:lang w:val="en-GB" w:eastAsia="en-GB" w:bidi="en-GB"/>
    </w:rPr>
  </w:style>
  <w:style w:type="character" w:customStyle="1" w:styleId="ListLabel16">
    <w:name w:val="ListLabel 16"/>
    <w:qFormat/>
    <w:rPr>
      <w:lang w:val="en-GB" w:eastAsia="en-GB" w:bidi="en-GB"/>
    </w:rPr>
  </w:style>
  <w:style w:type="character" w:customStyle="1" w:styleId="ListLabel17">
    <w:name w:val="ListLabel 17"/>
    <w:qFormat/>
    <w:rPr>
      <w:lang w:val="en-GB" w:eastAsia="en-GB" w:bidi="en-GB"/>
    </w:rPr>
  </w:style>
  <w:style w:type="character" w:customStyle="1" w:styleId="ListLabel18">
    <w:name w:val="ListLabel 18"/>
    <w:qFormat/>
    <w:rPr>
      <w:lang w:val="en-GB" w:eastAsia="en-GB" w:bidi="en-GB"/>
    </w:rPr>
  </w:style>
  <w:style w:type="character" w:customStyle="1" w:styleId="ListLabel19">
    <w:name w:val="ListLabel 19"/>
    <w:qFormat/>
    <w:rPr>
      <w:spacing w:val="-9"/>
      <w:w w:val="99"/>
      <w:lang w:val="en-GB" w:eastAsia="en-GB" w:bidi="en-GB"/>
    </w:rPr>
  </w:style>
  <w:style w:type="character" w:customStyle="1" w:styleId="ListLabel20">
    <w:name w:val="ListLabel 20"/>
    <w:qFormat/>
    <w:rPr>
      <w:lang w:val="en-GB" w:eastAsia="en-GB" w:bidi="en-GB"/>
    </w:rPr>
  </w:style>
  <w:style w:type="character" w:customStyle="1" w:styleId="ListLabel21">
    <w:name w:val="ListLabel 21"/>
    <w:qFormat/>
    <w:rPr>
      <w:lang w:val="en-GB" w:eastAsia="en-GB" w:bidi="en-GB"/>
    </w:rPr>
  </w:style>
  <w:style w:type="character" w:customStyle="1" w:styleId="ListLabel22">
    <w:name w:val="ListLabel 22"/>
    <w:qFormat/>
    <w:rPr>
      <w:lang w:val="en-GB" w:eastAsia="en-GB" w:bidi="en-GB"/>
    </w:rPr>
  </w:style>
  <w:style w:type="character" w:customStyle="1" w:styleId="ListLabel23">
    <w:name w:val="ListLabel 23"/>
    <w:qFormat/>
    <w:rPr>
      <w:lang w:val="en-GB" w:eastAsia="en-GB" w:bidi="en-GB"/>
    </w:rPr>
  </w:style>
  <w:style w:type="character" w:customStyle="1" w:styleId="ListLabel24">
    <w:name w:val="ListLabel 24"/>
    <w:qFormat/>
    <w:rPr>
      <w:lang w:val="en-GB" w:eastAsia="en-GB" w:bidi="en-GB"/>
    </w:rPr>
  </w:style>
  <w:style w:type="character" w:customStyle="1" w:styleId="ListLabel25">
    <w:name w:val="ListLabel 25"/>
    <w:qFormat/>
    <w:rPr>
      <w:lang w:val="en-GB" w:eastAsia="en-GB" w:bidi="en-GB"/>
    </w:rPr>
  </w:style>
  <w:style w:type="character" w:customStyle="1" w:styleId="ListLabel26">
    <w:name w:val="ListLabel 26"/>
    <w:qFormat/>
    <w:rPr>
      <w:lang w:val="en-GB" w:eastAsia="en-GB" w:bidi="en-GB"/>
    </w:rPr>
  </w:style>
  <w:style w:type="character" w:customStyle="1" w:styleId="ListLabel27">
    <w:name w:val="ListLabel 27"/>
    <w:qFormat/>
    <w:rPr>
      <w:lang w:val="en-GB" w:eastAsia="en-GB" w:bidi="en-GB"/>
    </w:rPr>
  </w:style>
  <w:style w:type="character" w:customStyle="1" w:styleId="InternetLink">
    <w:name w:val="Internet Link"/>
    <w:rPr>
      <w:color w:val="000080"/>
      <w:u w:val="single"/>
    </w:rPr>
  </w:style>
  <w:style w:type="paragraph" w:customStyle="1" w:styleId="Heading">
    <w:name w:val="Heading"/>
    <w:basedOn w:val="Normal"/>
    <w:next w:val="GvdeMetni"/>
    <w:qFormat/>
    <w:pPr>
      <w:keepNext/>
      <w:spacing w:before="240" w:after="120"/>
    </w:pPr>
    <w:rPr>
      <w:rFonts w:ascii="Liberation Sans" w:eastAsia="Noto Sans CJK SC Regular" w:hAnsi="Liberation Sans" w:cs="FreeSans"/>
      <w:sz w:val="28"/>
      <w:szCs w:val="28"/>
    </w:rPr>
  </w:style>
  <w:style w:type="paragraph" w:styleId="GvdeMetni">
    <w:name w:val="Body Text"/>
    <w:basedOn w:val="Normal"/>
    <w:uiPriority w:val="1"/>
    <w:qFormat/>
    <w:rsid w:val="00FE2C70"/>
    <w:pPr>
      <w:ind w:left="100"/>
      <w:jc w:val="both"/>
    </w:pPr>
    <w:rPr>
      <w:sz w:val="24"/>
      <w:szCs w:val="24"/>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eParagraf">
    <w:name w:val="List Paragraph"/>
    <w:basedOn w:val="Normal"/>
    <w:uiPriority w:val="1"/>
    <w:qFormat/>
    <w:rsid w:val="00FE2C70"/>
    <w:pPr>
      <w:ind w:left="527" w:right="38" w:hanging="427"/>
      <w:jc w:val="both"/>
    </w:pPr>
  </w:style>
  <w:style w:type="paragraph" w:customStyle="1" w:styleId="TableParagraph">
    <w:name w:val="Table Paragraph"/>
    <w:basedOn w:val="Normal"/>
    <w:uiPriority w:val="1"/>
    <w:qFormat/>
    <w:rsid w:val="00FE2C70"/>
    <w:pPr>
      <w:spacing w:line="256" w:lineRule="exact"/>
      <w:ind w:left="633"/>
    </w:pPr>
  </w:style>
  <w:style w:type="paragraph" w:styleId="stBilgi">
    <w:name w:val="header"/>
    <w:basedOn w:val="Normal"/>
    <w:link w:val="stBilgiChar"/>
    <w:uiPriority w:val="99"/>
    <w:unhideWhenUsed/>
    <w:rsid w:val="00A17C5A"/>
    <w:pPr>
      <w:tabs>
        <w:tab w:val="center" w:pos="4513"/>
        <w:tab w:val="right" w:pos="9026"/>
      </w:tabs>
    </w:pPr>
  </w:style>
  <w:style w:type="paragraph" w:styleId="AltBilgi">
    <w:name w:val="footer"/>
    <w:basedOn w:val="Normal"/>
    <w:link w:val="AltBilgiChar"/>
    <w:uiPriority w:val="99"/>
    <w:unhideWhenUsed/>
    <w:rsid w:val="00A17C5A"/>
    <w:pPr>
      <w:tabs>
        <w:tab w:val="center" w:pos="4513"/>
        <w:tab w:val="right" w:pos="9026"/>
      </w:tabs>
    </w:pPr>
  </w:style>
  <w:style w:type="paragraph" w:styleId="BalonMetni">
    <w:name w:val="Balloon Text"/>
    <w:basedOn w:val="Normal"/>
    <w:link w:val="BalonMetniChar"/>
    <w:uiPriority w:val="99"/>
    <w:semiHidden/>
    <w:unhideWhenUsed/>
    <w:qFormat/>
    <w:rsid w:val="00A17C5A"/>
    <w:rPr>
      <w:rFonts w:ascii="Tahoma" w:hAnsi="Tahoma" w:cs="Tahoma"/>
      <w:sz w:val="16"/>
      <w:szCs w:val="16"/>
    </w:rPr>
  </w:style>
  <w:style w:type="paragraph" w:customStyle="1" w:styleId="Default">
    <w:name w:val="Default"/>
    <w:qFormat/>
    <w:rsid w:val="00CF3F1C"/>
    <w:rPr>
      <w:rFonts w:ascii="Times New Roman" w:eastAsia="Calibri" w:hAnsi="Times New Roman" w:cs="Times New Roman"/>
      <w:color w:val="000000"/>
      <w:sz w:val="24"/>
      <w:szCs w:val="24"/>
      <w:lang w:val="id-ID"/>
    </w:rPr>
  </w:style>
  <w:style w:type="paragraph" w:customStyle="1" w:styleId="FrameContents">
    <w:name w:val="Frame Contents"/>
    <w:basedOn w:val="Normal"/>
    <w:qFormat/>
  </w:style>
  <w:style w:type="table" w:customStyle="1" w:styleId="PlainTable41">
    <w:name w:val="Plain Table 41"/>
    <w:basedOn w:val="NormalTablo"/>
    <w:uiPriority w:val="44"/>
    <w:rsid w:val="00CF3F1C"/>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6A7E91"/>
    <w:rPr>
      <w:color w:val="0000FF" w:themeColor="hyperlink"/>
      <w:u w:val="single"/>
    </w:rPr>
  </w:style>
  <w:style w:type="paragraph" w:styleId="Kaynaka">
    <w:name w:val="Bibliography"/>
    <w:basedOn w:val="Normal"/>
    <w:next w:val="Normal"/>
    <w:uiPriority w:val="37"/>
    <w:unhideWhenUsed/>
    <w:rsid w:val="005C635D"/>
    <w:pPr>
      <w:tabs>
        <w:tab w:val="left" w:pos="504"/>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306E-E669-45DA-91A9-C6AF20FA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7464</Words>
  <Characters>42546</Characters>
  <Application>Microsoft Office Word</Application>
  <DocSecurity>0</DocSecurity>
  <Lines>354</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Pramono</dc:creator>
  <dc:description/>
  <cp:lastModifiedBy>RİZEVİ</cp:lastModifiedBy>
  <cp:revision>16</cp:revision>
  <dcterms:created xsi:type="dcterms:W3CDTF">2020-06-24T12:10:00Z</dcterms:created>
  <dcterms:modified xsi:type="dcterms:W3CDTF">2021-01-20T17:13:00Z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2018-03-23T00:00:00Z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2019-04-04T00:00:00Z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ZOTERO_PREF_1">
    <vt:lpwstr>&lt;data data-version="3" zotero-version="5.0.95"&gt;&lt;session id="yPlp9n83"/&gt;&lt;style id="http://www.zotero.org/styles/vancouver" locale="en-US" hasBibliography="1" bibliographyStyleHasBeenSet="1"/&gt;&lt;prefs&gt;&lt;pref name="fieldType" value="Field"/&gt;&lt;/prefs&gt;&lt;/data&gt;</vt:lpwstr>
  </property>
</Properties>
</file>