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5A1" w:rsidRPr="000F69C0" w:rsidRDefault="00EC24BA">
      <w:pPr>
        <w:spacing w:after="0" w:line="240" w:lineRule="auto"/>
        <w:jc w:val="center"/>
        <w:rPr>
          <w:rFonts w:ascii="Book Antiqua" w:eastAsia="Book Antiqua" w:hAnsi="Book Antiqua" w:cs="Book Antiqua"/>
          <w:b/>
          <w:bCs/>
          <w:sz w:val="28"/>
          <w:szCs w:val="28"/>
        </w:rPr>
      </w:pPr>
      <w:r w:rsidRPr="000F69C0">
        <w:rPr>
          <w:rFonts w:ascii="Book Antiqua" w:eastAsia="Book Antiqua" w:hAnsi="Book Antiqua" w:cs="Book Antiqua"/>
          <w:b/>
          <w:bCs/>
          <w:sz w:val="28"/>
          <w:szCs w:val="28"/>
        </w:rPr>
        <w:t>State Sovereignty in Banned Entry Policy: A Comparative Study of the Indonesian and British Immigration Systems</w:t>
      </w:r>
    </w:p>
    <w:p w:rsidR="006F25A1" w:rsidRPr="000F69C0" w:rsidRDefault="006F25A1">
      <w:pPr>
        <w:spacing w:after="0" w:line="240" w:lineRule="auto"/>
        <w:jc w:val="center"/>
        <w:rPr>
          <w:rFonts w:ascii="Book Antiqua" w:eastAsia="Book Antiqua" w:hAnsi="Book Antiqua" w:cs="Book Antiqua"/>
          <w:sz w:val="24"/>
          <w:szCs w:val="24"/>
        </w:rPr>
      </w:pPr>
    </w:p>
    <w:p w:rsidR="006F25A1" w:rsidRPr="000F69C0" w:rsidRDefault="00EC24BA">
      <w:pPr>
        <w:spacing w:after="0" w:line="240" w:lineRule="auto"/>
        <w:jc w:val="center"/>
        <w:rPr>
          <w:rFonts w:ascii="Book Antiqua" w:eastAsia="Book Antiqua" w:hAnsi="Book Antiqua" w:cs="Book Antiqua"/>
          <w:sz w:val="24"/>
          <w:szCs w:val="24"/>
        </w:rPr>
      </w:pPr>
      <w:r w:rsidRPr="000F69C0">
        <w:rPr>
          <w:rFonts w:ascii="Book Antiqua" w:eastAsia="Book Antiqua" w:hAnsi="Book Antiqua" w:cs="Book Antiqua"/>
          <w:sz w:val="24"/>
          <w:szCs w:val="24"/>
        </w:rPr>
        <w:t>Maulvina Shanti Levianita</w:t>
      </w:r>
      <w:r w:rsidRPr="000F69C0">
        <w:rPr>
          <w:rFonts w:ascii="Book Antiqua" w:eastAsia="Book Antiqua" w:hAnsi="Book Antiqua" w:cs="Book Antiqua"/>
          <w:sz w:val="24"/>
          <w:szCs w:val="24"/>
          <w:vertAlign w:val="superscript"/>
        </w:rPr>
        <w:t>1</w:t>
      </w:r>
      <w:r w:rsidRPr="000F69C0">
        <w:rPr>
          <w:rFonts w:ascii="Book Antiqua" w:eastAsia="Book Antiqua" w:hAnsi="Book Antiqua" w:cs="Book Antiqua"/>
          <w:sz w:val="24"/>
          <w:szCs w:val="24"/>
        </w:rPr>
        <w:t>, Muhammad Hanif Arkan</w:t>
      </w:r>
      <w:r w:rsidRPr="000F69C0">
        <w:rPr>
          <w:rFonts w:ascii="Book Antiqua" w:eastAsia="Book Antiqua" w:hAnsi="Book Antiqua" w:cs="Book Antiqua"/>
          <w:sz w:val="24"/>
          <w:szCs w:val="24"/>
          <w:vertAlign w:val="superscript"/>
        </w:rPr>
        <w:t>2</w:t>
      </w:r>
      <w:r w:rsidRPr="000F69C0">
        <w:rPr>
          <w:rFonts w:ascii="Book Antiqua" w:eastAsia="Book Antiqua" w:hAnsi="Book Antiqua" w:cs="Book Antiqua"/>
          <w:sz w:val="24"/>
          <w:szCs w:val="24"/>
        </w:rPr>
        <w:t>, Avishtya Siti Karaniya</w:t>
      </w:r>
      <w:r w:rsidRPr="000F69C0">
        <w:rPr>
          <w:rFonts w:ascii="Book Antiqua" w:eastAsia="Book Antiqua" w:hAnsi="Book Antiqua" w:cs="Book Antiqua"/>
          <w:sz w:val="24"/>
          <w:szCs w:val="24"/>
          <w:vertAlign w:val="superscript"/>
        </w:rPr>
        <w:t>3</w:t>
      </w:r>
    </w:p>
    <w:p w:rsidR="006F25A1" w:rsidRPr="000F69C0" w:rsidRDefault="006F25A1">
      <w:pPr>
        <w:spacing w:after="0" w:line="240" w:lineRule="auto"/>
        <w:jc w:val="center"/>
        <w:rPr>
          <w:rFonts w:ascii="Book Antiqua" w:eastAsia="Book Antiqua" w:hAnsi="Book Antiqua" w:cs="Book Antiqua"/>
          <w:sz w:val="24"/>
          <w:szCs w:val="24"/>
        </w:rPr>
      </w:pPr>
    </w:p>
    <w:p w:rsidR="006F25A1" w:rsidRPr="000F69C0" w:rsidRDefault="00EC24BA">
      <w:pPr>
        <w:spacing w:after="0" w:line="240" w:lineRule="auto"/>
        <w:jc w:val="center"/>
        <w:rPr>
          <w:rFonts w:ascii="Book Antiqua" w:eastAsia="Book Antiqua" w:hAnsi="Book Antiqua" w:cs="Book Antiqua"/>
          <w:sz w:val="24"/>
          <w:szCs w:val="24"/>
        </w:rPr>
      </w:pPr>
      <w:r w:rsidRPr="000F69C0">
        <w:rPr>
          <w:rFonts w:ascii="Book Antiqua" w:eastAsia="Book Antiqua" w:hAnsi="Book Antiqua" w:cs="Book Antiqua"/>
          <w:sz w:val="24"/>
          <w:szCs w:val="24"/>
          <w:vertAlign w:val="superscript"/>
        </w:rPr>
        <w:t xml:space="preserve">1 </w:t>
      </w:r>
      <w:hyperlink r:id="rId7" w:history="1">
        <w:r w:rsidRPr="000F69C0">
          <w:rPr>
            <w:rFonts w:ascii="Book Antiqua" w:eastAsia="Book Antiqua" w:hAnsi="Book Antiqua" w:cs="Book Antiqua"/>
            <w:color w:val="1155CC"/>
            <w:sz w:val="24"/>
            <w:szCs w:val="24"/>
            <w:u w:val="single"/>
          </w:rPr>
          <w:t>2310611326@mahasiswa.upnvj.ac.id</w:t>
        </w:r>
      </w:hyperlink>
    </w:p>
    <w:p w:rsidR="006F25A1" w:rsidRPr="000F69C0" w:rsidRDefault="00EC24BA">
      <w:pPr>
        <w:spacing w:after="0" w:line="240" w:lineRule="auto"/>
        <w:jc w:val="center"/>
        <w:rPr>
          <w:rFonts w:ascii="Book Antiqua" w:eastAsia="Book Antiqua" w:hAnsi="Book Antiqua" w:cs="Book Antiqua"/>
          <w:sz w:val="24"/>
          <w:szCs w:val="24"/>
        </w:rPr>
      </w:pPr>
      <w:r w:rsidRPr="000F69C0">
        <w:rPr>
          <w:rFonts w:ascii="Book Antiqua" w:eastAsia="Book Antiqua" w:hAnsi="Book Antiqua" w:cs="Book Antiqua"/>
          <w:sz w:val="24"/>
          <w:szCs w:val="24"/>
          <w:vertAlign w:val="superscript"/>
        </w:rPr>
        <w:t>2</w:t>
      </w:r>
      <w:r w:rsidRPr="000F69C0">
        <w:rPr>
          <w:rFonts w:ascii="Book Antiqua" w:eastAsia="Book Antiqua" w:hAnsi="Book Antiqua" w:cs="Book Antiqua"/>
          <w:sz w:val="24"/>
          <w:szCs w:val="24"/>
        </w:rPr>
        <w:t xml:space="preserve"> </w:t>
      </w:r>
      <w:hyperlink r:id="rId8" w:history="1">
        <w:r w:rsidRPr="000F69C0">
          <w:rPr>
            <w:rFonts w:ascii="Book Antiqua" w:eastAsia="Book Antiqua" w:hAnsi="Book Antiqua" w:cs="Book Antiqua"/>
            <w:color w:val="1155CC"/>
            <w:sz w:val="24"/>
            <w:szCs w:val="24"/>
            <w:u w:val="single"/>
          </w:rPr>
          <w:t>2310611327@mahasiswa.upnvj.ac.id</w:t>
        </w:r>
      </w:hyperlink>
      <w:r w:rsidRPr="000F69C0">
        <w:rPr>
          <w:rFonts w:ascii="Book Antiqua" w:eastAsia="Book Antiqua" w:hAnsi="Book Antiqua" w:cs="Book Antiqua"/>
          <w:sz w:val="24"/>
          <w:szCs w:val="24"/>
        </w:rPr>
        <w:t xml:space="preserve"> </w:t>
      </w:r>
    </w:p>
    <w:p w:rsidR="006F25A1" w:rsidRPr="000F69C0" w:rsidRDefault="00EC24BA">
      <w:pPr>
        <w:spacing w:after="0" w:line="240" w:lineRule="auto"/>
        <w:jc w:val="center"/>
        <w:rPr>
          <w:rFonts w:ascii="Book Antiqua" w:eastAsia="Book Antiqua" w:hAnsi="Book Antiqua" w:cs="Book Antiqua"/>
          <w:sz w:val="24"/>
          <w:szCs w:val="24"/>
        </w:rPr>
      </w:pPr>
      <w:r w:rsidRPr="000F69C0">
        <w:rPr>
          <w:rFonts w:ascii="Book Antiqua" w:eastAsia="Book Antiqua" w:hAnsi="Book Antiqua" w:cs="Book Antiqua"/>
          <w:sz w:val="24"/>
          <w:szCs w:val="24"/>
          <w:vertAlign w:val="superscript"/>
        </w:rPr>
        <w:t>3</w:t>
      </w:r>
      <w:r w:rsidRPr="000F69C0">
        <w:rPr>
          <w:rFonts w:ascii="Book Antiqua" w:eastAsia="Book Antiqua" w:hAnsi="Book Antiqua" w:cs="Book Antiqua"/>
          <w:sz w:val="24"/>
          <w:szCs w:val="24"/>
        </w:rPr>
        <w:t xml:space="preserve"> </w:t>
      </w:r>
      <w:hyperlink r:id="rId9" w:history="1">
        <w:r w:rsidRPr="000F69C0">
          <w:rPr>
            <w:rFonts w:ascii="Book Antiqua" w:eastAsia="Book Antiqua" w:hAnsi="Book Antiqua" w:cs="Book Antiqua"/>
            <w:color w:val="1155CC"/>
            <w:sz w:val="24"/>
            <w:szCs w:val="24"/>
            <w:u w:val="single"/>
          </w:rPr>
          <w:t>2310611322@mahasiswa.upnvj.ac.id</w:t>
        </w:r>
      </w:hyperlink>
      <w:r w:rsidRPr="000F69C0">
        <w:rPr>
          <w:rFonts w:ascii="Book Antiqua" w:eastAsia="Book Antiqua" w:hAnsi="Book Antiqua" w:cs="Book Antiqua"/>
          <w:sz w:val="24"/>
          <w:szCs w:val="24"/>
        </w:rPr>
        <w:t xml:space="preserve"> </w:t>
      </w:r>
    </w:p>
    <w:p w:rsidR="006F25A1" w:rsidRPr="000F69C0" w:rsidRDefault="006F25A1">
      <w:pPr>
        <w:spacing w:after="0" w:line="240" w:lineRule="auto"/>
        <w:jc w:val="center"/>
        <w:rPr>
          <w:rFonts w:ascii="Book Antiqua" w:eastAsia="Book Antiqua" w:hAnsi="Book Antiqua" w:cs="Book Antiqua"/>
          <w:sz w:val="24"/>
          <w:szCs w:val="24"/>
        </w:rPr>
      </w:pPr>
    </w:p>
    <w:p w:rsidR="006F25A1" w:rsidRPr="000F69C0" w:rsidRDefault="00EC24BA">
      <w:pPr>
        <w:spacing w:line="240" w:lineRule="auto"/>
        <w:rPr>
          <w:rFonts w:ascii="Book Antiqua" w:eastAsia="Book Antiqua" w:hAnsi="Book Antiqua" w:cs="Book Antiqua"/>
          <w:i/>
          <w:iCs/>
          <w:sz w:val="24"/>
          <w:szCs w:val="24"/>
        </w:rPr>
      </w:pPr>
      <w:r w:rsidRPr="000F69C0">
        <w:rPr>
          <w:rFonts w:ascii="Book Antiqua" w:eastAsia="Book Antiqua" w:hAnsi="Book Antiqua" w:cs="Book Antiqua"/>
          <w:b/>
          <w:bCs/>
          <w:color w:val="A61C00"/>
          <w:sz w:val="24"/>
          <w:szCs w:val="24"/>
        </w:rPr>
        <w:t>Abstract</w:t>
      </w:r>
      <w:r w:rsidR="000F69C0" w:rsidRPr="000F69C0">
        <w:rPr>
          <w:rFonts w:ascii="Book Antiqua" w:eastAsia="Book Antiqua" w:hAnsi="Book Antiqua" w:cs="Book Antiqua"/>
          <w:b/>
          <w:bCs/>
          <w:color w:val="A61C00"/>
          <w:sz w:val="24"/>
          <w:szCs w:val="24"/>
        </w:rPr>
        <w:t>:</w:t>
      </w:r>
      <w:r w:rsidRPr="000F69C0">
        <w:rPr>
          <w:rFonts w:ascii="Book Antiqua" w:eastAsia="Book Antiqua" w:hAnsi="Book Antiqua" w:cs="Book Antiqua"/>
          <w:b/>
          <w:bCs/>
          <w:color w:val="C00000"/>
          <w:sz w:val="24"/>
          <w:szCs w:val="24"/>
        </w:rPr>
        <w:t xml:space="preserve"> </w:t>
      </w:r>
      <w:r w:rsidRPr="000F69C0">
        <w:rPr>
          <w:rFonts w:ascii="Book Antiqua" w:eastAsia="Book Antiqua" w:hAnsi="Book Antiqua" w:cs="Book Antiqua"/>
          <w:i/>
          <w:iCs/>
          <w:sz w:val="24"/>
          <w:szCs w:val="24"/>
        </w:rPr>
        <w:t>The debate over absolute s</w:t>
      </w:r>
      <w:r w:rsidRPr="000F69C0">
        <w:rPr>
          <w:rFonts w:ascii="Book Antiqua" w:eastAsia="Book Antiqua" w:hAnsi="Book Antiqua" w:cs="Book Antiqua"/>
          <w:i/>
          <w:iCs/>
          <w:sz w:val="24"/>
          <w:szCs w:val="24"/>
        </w:rPr>
        <w:t>tate sovereignty and the cross-border protection of human rights forms the basis of modern immigration law dynamics. This study analy</w:t>
      </w:r>
      <w:r w:rsidR="000F69C0" w:rsidRPr="000F69C0">
        <w:rPr>
          <w:rFonts w:ascii="Book Antiqua" w:eastAsia="Book Antiqua" w:hAnsi="Book Antiqua" w:cs="Book Antiqua"/>
          <w:i/>
          <w:iCs/>
          <w:sz w:val="24"/>
          <w:szCs w:val="24"/>
        </w:rPr>
        <w:t>s</w:t>
      </w:r>
      <w:r w:rsidRPr="000F69C0">
        <w:rPr>
          <w:rFonts w:ascii="Book Antiqua" w:eastAsia="Book Antiqua" w:hAnsi="Book Antiqua" w:cs="Book Antiqua"/>
          <w:i/>
          <w:iCs/>
          <w:sz w:val="24"/>
          <w:szCs w:val="24"/>
        </w:rPr>
        <w:t xml:space="preserve">es </w:t>
      </w:r>
      <w:r w:rsidRPr="000F69C0">
        <w:rPr>
          <w:rFonts w:ascii="Book Antiqua" w:eastAsia="Book Antiqua" w:hAnsi="Book Antiqua" w:cs="Book Antiqua"/>
          <w:i/>
          <w:iCs/>
          <w:sz w:val="24"/>
          <w:szCs w:val="24"/>
        </w:rPr>
        <w:t>state sovereignty in entry</w:t>
      </w:r>
      <w:r w:rsidR="000F69C0" w:rsidRPr="000F69C0">
        <w:rPr>
          <w:rFonts w:ascii="Book Antiqua" w:eastAsia="Book Antiqua" w:hAnsi="Book Antiqua" w:cs="Book Antiqua"/>
          <w:i/>
          <w:iCs/>
          <w:sz w:val="24"/>
          <w:szCs w:val="24"/>
        </w:rPr>
        <w:t>-</w:t>
      </w:r>
      <w:r w:rsidRPr="000F69C0">
        <w:rPr>
          <w:rFonts w:ascii="Book Antiqua" w:eastAsia="Book Antiqua" w:hAnsi="Book Antiqua" w:cs="Book Antiqua"/>
          <w:i/>
          <w:iCs/>
          <w:sz w:val="24"/>
          <w:szCs w:val="24"/>
        </w:rPr>
        <w:t xml:space="preserve">ban policies and compares the immigration legal systems of Indonesia and the </w:t>
      </w:r>
      <w:r w:rsidRPr="000F69C0">
        <w:rPr>
          <w:rFonts w:ascii="Book Antiqua" w:eastAsia="Book Antiqua" w:hAnsi="Book Antiqua" w:cs="Book Antiqua"/>
          <w:i/>
          <w:iCs/>
          <w:sz w:val="24"/>
          <w:szCs w:val="24"/>
        </w:rPr>
        <w:t>United Kingdom. The main issue examined is Indonesia’s executive discretion in entry-ban decisions, which remains weak</w:t>
      </w:r>
      <w:r w:rsidR="000F69C0" w:rsidRPr="000F69C0">
        <w:rPr>
          <w:rFonts w:ascii="Book Antiqua" w:eastAsia="Book Antiqua" w:hAnsi="Book Antiqua" w:cs="Book Antiqua"/>
          <w:i/>
          <w:iCs/>
          <w:sz w:val="24"/>
          <w:szCs w:val="24"/>
        </w:rPr>
        <w:t>ly accountable, while the UK system links discretion to judicial oversight. The research use</w:t>
      </w:r>
      <w:r w:rsidRPr="000F69C0">
        <w:rPr>
          <w:rFonts w:ascii="Book Antiqua" w:eastAsia="Book Antiqua" w:hAnsi="Book Antiqua" w:cs="Book Antiqua"/>
          <w:i/>
          <w:iCs/>
          <w:sz w:val="24"/>
          <w:szCs w:val="24"/>
        </w:rPr>
        <w:t>s normative legal research thr</w:t>
      </w:r>
      <w:r w:rsidRPr="000F69C0">
        <w:rPr>
          <w:rFonts w:ascii="Book Antiqua" w:eastAsia="Book Antiqua" w:hAnsi="Book Antiqua" w:cs="Book Antiqua"/>
          <w:i/>
          <w:iCs/>
          <w:sz w:val="24"/>
          <w:szCs w:val="24"/>
        </w:rPr>
        <w:t>ough statutory, conceptual, and comparative approaches. The findings show that although both countries apply the jus exclusionis principle, the UK has a more institutionali</w:t>
      </w:r>
      <w:r w:rsidR="000F69C0" w:rsidRPr="000F69C0">
        <w:rPr>
          <w:rFonts w:ascii="Book Antiqua" w:eastAsia="Book Antiqua" w:hAnsi="Book Antiqua" w:cs="Book Antiqua"/>
          <w:i/>
          <w:iCs/>
          <w:sz w:val="24"/>
          <w:szCs w:val="24"/>
        </w:rPr>
        <w:t>s</w:t>
      </w:r>
      <w:r w:rsidRPr="000F69C0">
        <w:rPr>
          <w:rFonts w:ascii="Book Antiqua" w:eastAsia="Book Antiqua" w:hAnsi="Book Antiqua" w:cs="Book Antiqua"/>
          <w:i/>
          <w:iCs/>
          <w:sz w:val="24"/>
          <w:szCs w:val="24"/>
        </w:rPr>
        <w:t>ed oversight mechanism through the First-tier Tribunal to assess public good parame</w:t>
      </w:r>
      <w:r w:rsidRPr="000F69C0">
        <w:rPr>
          <w:rFonts w:ascii="Book Antiqua" w:eastAsia="Book Antiqua" w:hAnsi="Book Antiqua" w:cs="Book Antiqua"/>
          <w:i/>
          <w:iCs/>
          <w:sz w:val="24"/>
          <w:szCs w:val="24"/>
        </w:rPr>
        <w:t xml:space="preserve">ters, whereas Indonesia still relies on broad ministerial authority without a public transparency obligation. </w:t>
      </w:r>
      <w:r w:rsidR="000F69C0" w:rsidRPr="000F69C0">
        <w:rPr>
          <w:rFonts w:ascii="Book Antiqua" w:eastAsia="Book Antiqua" w:hAnsi="Book Antiqua" w:cs="Book Antiqua"/>
          <w:i/>
          <w:iCs/>
          <w:sz w:val="24"/>
          <w:szCs w:val="24"/>
        </w:rPr>
        <w:t>This research's novelty lies in its cross-system comparison between civil law and common law, exploring the “grey area” of immigration discretion that earlier studies have not sufficiently discussed.</w:t>
      </w:r>
      <w:r w:rsidRPr="000F69C0">
        <w:rPr>
          <w:rFonts w:ascii="Book Antiqua" w:eastAsia="Book Antiqua" w:hAnsi="Book Antiqua" w:cs="Book Antiqua"/>
          <w:i/>
          <w:iCs/>
          <w:sz w:val="24"/>
          <w:szCs w:val="24"/>
        </w:rPr>
        <w:t xml:space="preserve"> In conclusion, Indonesia needs to renew its immigration law by adopting the due process of law principle to address transparency challenges without weakening national sovereignty. </w:t>
      </w:r>
      <w:r w:rsidR="000F69C0" w:rsidRPr="000F69C0">
        <w:rPr>
          <w:rFonts w:ascii="Book Antiqua" w:eastAsia="Book Antiqua" w:hAnsi="Book Antiqua" w:cs="Book Antiqua"/>
          <w:i/>
          <w:iCs/>
          <w:sz w:val="24"/>
          <w:szCs w:val="24"/>
        </w:rPr>
        <w:t>This study presents all parts, from the theoretical basis to the reform recommendations, comprehensively.</w:t>
      </w:r>
    </w:p>
    <w:p w:rsidR="006F25A1" w:rsidRPr="000F69C0" w:rsidRDefault="00EC24BA">
      <w:pPr>
        <w:spacing w:line="240" w:lineRule="auto"/>
        <w:rPr>
          <w:rFonts w:ascii="Book Antiqua" w:eastAsia="Book Antiqua" w:hAnsi="Book Antiqua" w:cs="Book Antiqua"/>
          <w:sz w:val="24"/>
          <w:szCs w:val="24"/>
        </w:rPr>
        <w:sectPr w:rsidR="006F25A1" w:rsidRPr="000F69C0">
          <w:headerReference w:type="default" r:id="rId10"/>
          <w:headerReference w:type="first" r:id="rId11"/>
          <w:pgSz w:w="12240" w:h="15840"/>
          <w:pgMar w:top="1418" w:right="1418" w:bottom="1418" w:left="1418" w:header="720" w:footer="720" w:gutter="0"/>
          <w:pgNumType w:start="1"/>
          <w:cols w:space="720"/>
          <w:titlePg/>
        </w:sectPr>
      </w:pPr>
      <w:r w:rsidRPr="000F69C0">
        <w:rPr>
          <w:rFonts w:ascii="Book Antiqua" w:eastAsia="Book Antiqua" w:hAnsi="Book Antiqua" w:cs="Book Antiqua"/>
          <w:b/>
          <w:bCs/>
          <w:color w:val="CC0000"/>
          <w:sz w:val="24"/>
          <w:szCs w:val="24"/>
        </w:rPr>
        <w:t>Keywords</w:t>
      </w:r>
      <w:r w:rsidRPr="000F69C0">
        <w:rPr>
          <w:rFonts w:ascii="Book Antiqua" w:eastAsia="Book Antiqua" w:hAnsi="Book Antiqua" w:cs="Book Antiqua"/>
          <w:color w:val="CC0000"/>
          <w:sz w:val="24"/>
          <w:szCs w:val="24"/>
        </w:rPr>
        <w:t xml:space="preserve">: </w:t>
      </w:r>
      <w:r w:rsidRPr="000F69C0">
        <w:rPr>
          <w:rFonts w:ascii="Book Antiqua" w:eastAsia="Book Antiqua" w:hAnsi="Book Antiqua" w:cs="Book Antiqua"/>
          <w:sz w:val="24"/>
          <w:szCs w:val="24"/>
        </w:rPr>
        <w:t>Banned Entry, Comparative Immigration Law, Indonesia and United Kingdom, Judicial Review, State Sovereignty.</w:t>
      </w:r>
    </w:p>
    <w:p w:rsidR="006F25A1" w:rsidRPr="000F69C0" w:rsidRDefault="006F25A1">
      <w:pPr>
        <w:spacing w:after="0" w:line="240" w:lineRule="auto"/>
        <w:rPr>
          <w:rFonts w:ascii="Book Antiqua" w:eastAsia="Book Antiqua" w:hAnsi="Book Antiqua" w:cs="Book Antiqua"/>
          <w:b/>
          <w:bCs/>
          <w:sz w:val="24"/>
          <w:szCs w:val="24"/>
        </w:rPr>
      </w:pPr>
    </w:p>
    <w:p w:rsidR="006F25A1" w:rsidRPr="000F69C0" w:rsidRDefault="006F25A1">
      <w:pPr>
        <w:spacing w:after="0" w:line="240" w:lineRule="auto"/>
        <w:rPr>
          <w:rFonts w:ascii="Book Antiqua" w:eastAsia="Book Antiqua" w:hAnsi="Book Antiqua" w:cs="Book Antiqua"/>
          <w:b/>
          <w:bCs/>
          <w:sz w:val="24"/>
          <w:szCs w:val="24"/>
        </w:rPr>
      </w:pPr>
    </w:p>
    <w:p w:rsidR="006F25A1" w:rsidRPr="000F69C0" w:rsidRDefault="00EC24BA">
      <w:pPr>
        <w:pStyle w:val="Heading1"/>
        <w:numPr>
          <w:ilvl w:val="0"/>
          <w:numId w:val="1"/>
        </w:numPr>
        <w:spacing w:line="276" w:lineRule="auto"/>
        <w:ind w:left="426"/>
        <w:rPr>
          <w:rFonts w:ascii="Book Antiqua" w:eastAsia="Book Antiqua" w:hAnsi="Book Antiqua" w:cs="Book Antiqua"/>
          <w:sz w:val="24"/>
          <w:szCs w:val="24"/>
        </w:rPr>
      </w:pPr>
      <w:bookmarkStart w:id="0" w:name="_9q7abz80wff7" w:colFirst="0" w:colLast="0"/>
      <w:bookmarkEnd w:id="0"/>
      <w:r w:rsidRPr="000F69C0">
        <w:rPr>
          <w:rFonts w:ascii="Book Antiqua" w:eastAsia="Book Antiqua" w:hAnsi="Book Antiqua" w:cs="Book Antiqua"/>
          <w:sz w:val="24"/>
          <w:szCs w:val="24"/>
        </w:rPr>
        <w:t xml:space="preserve">Introduction </w:t>
      </w:r>
    </w:p>
    <w:p w:rsidR="000F69C0" w:rsidRPr="000F69C0" w:rsidRDefault="00EC24BA">
      <w:pPr>
        <w:spacing w:before="240" w:after="24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In classical international law, the state is recogni</w:t>
      </w:r>
      <w:r w:rsidR="000F69C0" w:rsidRPr="000F69C0">
        <w:rPr>
          <w:rFonts w:ascii="Book Antiqua" w:eastAsia="Book Antiqua" w:hAnsi="Book Antiqua" w:cs="Book Antiqua"/>
          <w:sz w:val="24"/>
          <w:szCs w:val="24"/>
        </w:rPr>
        <w:t>s</w:t>
      </w:r>
      <w:r w:rsidRPr="000F69C0">
        <w:rPr>
          <w:rFonts w:ascii="Book Antiqua" w:eastAsia="Book Antiqua" w:hAnsi="Book Antiqua" w:cs="Book Antiqua"/>
          <w:sz w:val="24"/>
          <w:szCs w:val="24"/>
        </w:rPr>
        <w:t xml:space="preserve">ed as having the exclusive authority to either reject or admit </w:t>
      </w:r>
      <w:r w:rsidRPr="000F69C0">
        <w:rPr>
          <w:rFonts w:ascii="Book Antiqua" w:eastAsia="Book Antiqua" w:hAnsi="Book Antiqua" w:cs="Book Antiqua"/>
          <w:sz w:val="24"/>
          <w:szCs w:val="24"/>
        </w:rPr>
        <w:t xml:space="preserve">foreign nationals within its jurisdictional territory (the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5598865</wp:posOffset>
                </wp:positionH>
                <wp:positionV relativeFrom="paragraph">
                  <wp:posOffset>-434058</wp:posOffset>
                </wp:positionV>
                <wp:extent cx="417689" cy="383822"/>
                <wp:effectExtent l="0" t="0" r="1905" b="0"/>
                <wp:wrapNone/>
                <wp:docPr id="5" name="Text Box 5"/>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pPr>
                              <w:rPr>
                                <w:rFonts w:ascii="Bookman Old Style" w:hAnsi="Bookman Old Style"/>
                                <w:sz w:val="24"/>
                                <w:szCs w:val="24"/>
                                <w:lang w:val="en-US"/>
                              </w:rPr>
                            </w:pPr>
                            <w:r w:rsidRPr="00F343C6">
                              <w:rPr>
                                <w:rFonts w:ascii="Bookman Old Style" w:hAnsi="Bookman Old Style"/>
                                <w:sz w:val="24"/>
                                <w:szCs w:val="24"/>
                                <w:lang w:val="en-US"/>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40.85pt;margin-top:-34.2pt;width:32.9pt;height:3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SxQQIAAHgEAAAOAAAAZHJzL2Uyb0RvYy54bWysVE1v2zAMvQ/YfxB0X5zvpkacIkuRYUDQ&#13;&#10;FkiGnhVZig3IoiYpsbNfP0p20rTbadhFoUj6iY+PzPyhqRQ5CetK0Bkd9PqUCM0hL/Uhoz926y8z&#13;&#10;SpxnOmcKtMjoWTj6sPj8aV6bVAyhAJULSxBEu7Q2GS28N2mSOF6IirkeGKExKMFWzOPVHpLcshrR&#13;&#10;K5UM+/1pUoPNjQUunEPvYxuki4gvpeD+WUonPFEZxdp8PG089+FMFnOWHiwzRcm7Mtg/VFGxUuOj&#13;&#10;V6hH5hk52vIPqKrkFhxI3+NQJSBlyUXkgGwG/Q9stgUzInLB5jhzbZP7f7D86fRiSZlndEKJZhVK&#13;&#10;tBONJ1+hIZPQndq4FJO2BtN8g25U+eJ36AykG2mr8It0CMaxz+drbwMYR+d4cDed3VPCMTSajWbD&#13;&#10;YUBJ3j421vlvAioSjIxalC52lJ02zrepl5TwlgNV5utSqXgJ4yJWypITQ6GVjyUi+LsspUmd0elo&#13;&#10;0o/AGsLnLbLSWEug2lIKlm/2Tcd/D/kZ6Vtox8cZvi6xyA1z/oVZnBdkjDvgn/GQCvAR6CxKCrC/&#13;&#10;/uYP+SgjRimpcf4y6n4emRWUqO8aBb4fjMdhYONlPLkb4sXeRva3EX2sVoDMB7hthkcz5Ht1MaWF&#13;&#10;6hVXZRlexRDTHN/OqL+YK99uBa4aF8tlTMIRNcxv9NbwAB06HSTYNa/Mmk4njwI/wWVSWfpBrjY3&#13;&#10;fKlhefQgy6hlaHDb1a7vON5xGrpVDPtze49Zb38Yi98AAAD//wMAUEsDBBQABgAIAAAAIQCKhc6y&#13;&#10;5QAAAA8BAAAPAAAAZHJzL2Rvd25yZXYueG1sTE/JTsMwEL0j8Q/WIHFBrVO6JKRxKsQqcaNhETc3&#13;&#10;HpKIeBzFbhL+nuEEl5Fm3pu3ZLvJtmLA3jeOFCzmEQik0pmGKgUvxf0sAeGDJqNbR6jgGz3s8tOT&#13;&#10;TKfGjfSMwz5UgkXIp1pBHUKXSunLGq32c9chMfbpeqsDr30lTa9HFretvIyijbS6IXaodYc3NZZf&#13;&#10;+6NV8HFRvT/56eF1XK6X3d3jUMRvplDq/Gy63fK43oIIOIW/D/jtwPkh52AHdyTjRasgSRYxUxXM&#13;&#10;NskKBDOuVvEaxIEvSQQyz+T/HvkPAAAA//8DAFBLAQItABQABgAIAAAAIQC2gziS/gAAAOEBAAAT&#13;&#10;AAAAAAAAAAAAAAAAAAAAAABbQ29udGVudF9UeXBlc10ueG1sUEsBAi0AFAAGAAgAAAAhADj9If/W&#13;&#10;AAAAlAEAAAsAAAAAAAAAAAAAAAAALwEAAF9yZWxzLy5yZWxzUEsBAi0AFAAGAAgAAAAhAB351LFB&#13;&#10;AgAAeAQAAA4AAAAAAAAAAAAAAAAALgIAAGRycy9lMm9Eb2MueG1sUEsBAi0AFAAGAAgAAAAhAIqF&#13;&#10;zrLlAAAADwEAAA8AAAAAAAAAAAAAAAAAmwQAAGRycy9kb3ducmV2LnhtbFBLBQYAAAAABAAEAPMA&#13;&#10;AACtBQAAAAA=&#13;&#10;" fillcolor="white [3201]" stroked="f" strokeweight=".5pt">
                <v:textbox>
                  <w:txbxContent>
                    <w:p w:rsidR="00F343C6" w:rsidRPr="00F343C6" w:rsidRDefault="00F343C6">
                      <w:pPr>
                        <w:rPr>
                          <w:rFonts w:ascii="Bookman Old Style" w:hAnsi="Bookman Old Style"/>
                          <w:sz w:val="24"/>
                          <w:szCs w:val="24"/>
                          <w:lang w:val="en-US"/>
                        </w:rPr>
                      </w:pPr>
                      <w:r w:rsidRPr="00F343C6">
                        <w:rPr>
                          <w:rFonts w:ascii="Bookman Old Style" w:hAnsi="Bookman Old Style"/>
                          <w:sz w:val="24"/>
                          <w:szCs w:val="24"/>
                          <w:lang w:val="en-US"/>
                        </w:rPr>
                        <w:t>29</w:t>
                      </w:r>
                    </w:p>
                  </w:txbxContent>
                </v:textbox>
              </v:shape>
            </w:pict>
          </mc:Fallback>
        </mc:AlternateContent>
      </w:r>
      <w:r w:rsidRPr="000F69C0">
        <w:rPr>
          <w:rFonts w:ascii="Book Antiqua" w:eastAsia="Book Antiqua" w:hAnsi="Book Antiqua" w:cs="Book Antiqua"/>
          <w:sz w:val="24"/>
          <w:szCs w:val="24"/>
        </w:rPr>
        <w:t>right to exclude aliens).</w:t>
      </w:r>
      <w:r w:rsidRPr="000F69C0">
        <w:rPr>
          <w:rFonts w:ascii="Book Antiqua" w:eastAsia="Book Antiqua" w:hAnsi="Book Antiqua" w:cs="Book Antiqua"/>
          <w:sz w:val="24"/>
          <w:szCs w:val="24"/>
          <w:vertAlign w:val="superscript"/>
        </w:rPr>
        <w:footnoteReference w:id="1"/>
      </w:r>
      <w:r w:rsidRPr="000F69C0">
        <w:rPr>
          <w:rFonts w:ascii="Book Antiqua" w:eastAsia="Book Antiqua" w:hAnsi="Book Antiqua" w:cs="Book Antiqua"/>
          <w:sz w:val="24"/>
          <w:szCs w:val="24"/>
        </w:rPr>
        <w:t xml:space="preserve"> In Indonesia, this doctrine is formally reflected through the </w:t>
      </w:r>
      <w:r w:rsidRPr="000F69C0">
        <w:rPr>
          <w:rFonts w:ascii="Book Antiqua" w:eastAsia="Book Antiqua" w:hAnsi="Book Antiqua" w:cs="Book Antiqua"/>
          <w:sz w:val="24"/>
          <w:szCs w:val="24"/>
        </w:rPr>
        <w:t>entry-ban instrument regulated in Law Number 6 of 2011 concerning Immigration.</w:t>
      </w:r>
      <w:r w:rsidRPr="000F69C0">
        <w:rPr>
          <w:rFonts w:ascii="Book Antiqua" w:eastAsia="Book Antiqua" w:hAnsi="Book Antiqua" w:cs="Book Antiqua"/>
          <w:sz w:val="24"/>
          <w:szCs w:val="24"/>
          <w:vertAlign w:val="superscript"/>
        </w:rPr>
        <w:footnoteReference w:id="2"/>
      </w:r>
      <w:r w:rsidRPr="000F69C0">
        <w:rPr>
          <w:rFonts w:ascii="Book Antiqua" w:eastAsia="Book Antiqua" w:hAnsi="Book Antiqua" w:cs="Book Antiqua"/>
          <w:sz w:val="24"/>
          <w:szCs w:val="24"/>
        </w:rPr>
        <w:t xml:space="preserve"> As a direct expression of st</w:t>
      </w:r>
      <w:r w:rsidRPr="000F69C0">
        <w:rPr>
          <w:rFonts w:ascii="Book Antiqua" w:eastAsia="Book Antiqua" w:hAnsi="Book Antiqua" w:cs="Book Antiqua"/>
          <w:sz w:val="24"/>
          <w:szCs w:val="24"/>
        </w:rPr>
        <w:t xml:space="preserve">ate sovereignty, the entry ban operates as a preventive screen to safeguard national interests from possible external threats. Yet, when sovereignty is treated as an unlimited and absolute justification, the opportunity for arbitrary decisions becomes far </w:t>
      </w:r>
      <w:r w:rsidRPr="000F69C0">
        <w:rPr>
          <w:rFonts w:ascii="Book Antiqua" w:eastAsia="Book Antiqua" w:hAnsi="Book Antiqua" w:cs="Book Antiqua"/>
          <w:sz w:val="24"/>
          <w:szCs w:val="24"/>
        </w:rPr>
        <w:t xml:space="preserve">greater. A core issue in contemporary Indonesian immigration practice is the limited accountability and transparency in </w:t>
      </w:r>
      <w:r w:rsidR="000F69C0" w:rsidRPr="000F69C0">
        <w:rPr>
          <w:rFonts w:ascii="Book Antiqua" w:eastAsia="Book Antiqua" w:hAnsi="Book Antiqua" w:cs="Book Antiqua"/>
          <w:sz w:val="24"/>
          <w:szCs w:val="24"/>
        </w:rPr>
        <w:t>issuing entry-ban decrees, which often neglect the basic right of affected persons to understand the reasons for their exclusion.</w:t>
      </w:r>
    </w:p>
    <w:p w:rsidR="006F25A1" w:rsidRPr="000F69C0" w:rsidRDefault="000F69C0">
      <w:pPr>
        <w:spacing w:before="240" w:after="24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From this sensitive question at the boundary between human rights and sovereignty, the debate over</w:t>
      </w:r>
      <w:r w:rsidR="00EC24BA" w:rsidRPr="000F69C0">
        <w:rPr>
          <w:rFonts w:ascii="Book Antiqua" w:eastAsia="Book Antiqua" w:hAnsi="Book Antiqua" w:cs="Book Antiqua"/>
          <w:sz w:val="24"/>
          <w:szCs w:val="24"/>
        </w:rPr>
        <w:t xml:space="preserve"> the limits of immigration discretion has generated extensive academic discussion. M. Alvi Syahrin (2019), for example, emphasi</w:t>
      </w:r>
      <w:r w:rsidRPr="000F69C0">
        <w:rPr>
          <w:rFonts w:ascii="Book Antiqua" w:eastAsia="Book Antiqua" w:hAnsi="Book Antiqua" w:cs="Book Antiqua"/>
          <w:sz w:val="24"/>
          <w:szCs w:val="24"/>
        </w:rPr>
        <w:t>s</w:t>
      </w:r>
      <w:r w:rsidR="00EC24BA" w:rsidRPr="000F69C0">
        <w:rPr>
          <w:rFonts w:ascii="Book Antiqua" w:eastAsia="Book Antiqua" w:hAnsi="Book Antiqua" w:cs="Book Antiqua"/>
          <w:sz w:val="24"/>
          <w:szCs w:val="24"/>
        </w:rPr>
        <w:t>es that Indon</w:t>
      </w:r>
      <w:r w:rsidR="00EC24BA" w:rsidRPr="000F69C0">
        <w:rPr>
          <w:rFonts w:ascii="Book Antiqua" w:eastAsia="Book Antiqua" w:hAnsi="Book Antiqua" w:cs="Book Antiqua"/>
          <w:sz w:val="24"/>
          <w:szCs w:val="24"/>
        </w:rPr>
        <w:t xml:space="preserve">esia follows a selective-sovereignty principle, under which </w:t>
      </w:r>
      <w:r w:rsidRPr="000F69C0">
        <w:rPr>
          <w:rFonts w:ascii="Book Antiqua" w:eastAsia="Book Antiqua" w:hAnsi="Book Antiqua" w:cs="Book Antiqua"/>
          <w:sz w:val="24"/>
          <w:szCs w:val="24"/>
        </w:rPr>
        <w:t>it grants entry</w:t>
      </w:r>
      <w:r w:rsidR="00EC24BA" w:rsidRPr="000F69C0">
        <w:rPr>
          <w:rFonts w:ascii="Book Antiqua" w:eastAsia="Book Antiqua" w:hAnsi="Book Antiqua" w:cs="Book Antiqua"/>
          <w:sz w:val="24"/>
          <w:szCs w:val="24"/>
        </w:rPr>
        <w:t xml:space="preserve"> only to foreign nationals who bring concrete benefits and do not endanger security.</w:t>
      </w:r>
      <w:r w:rsidR="00EC24BA" w:rsidRPr="000F69C0">
        <w:rPr>
          <w:rFonts w:ascii="Book Antiqua" w:eastAsia="Book Antiqua" w:hAnsi="Book Antiqua" w:cs="Book Antiqua"/>
          <w:sz w:val="24"/>
          <w:szCs w:val="24"/>
          <w:vertAlign w:val="superscript"/>
        </w:rPr>
        <w:footnoteReference w:id="3"/>
      </w:r>
      <w:r w:rsidR="00EC24BA" w:rsidRPr="000F69C0">
        <w:rPr>
          <w:rFonts w:ascii="Book Antiqua" w:eastAsia="Book Antiqua" w:hAnsi="Book Antiqua" w:cs="Book Antiqua"/>
          <w:sz w:val="24"/>
          <w:szCs w:val="24"/>
        </w:rPr>
        <w:t xml:space="preserve"> In the common law context, Helena Wray (2015) examines immigration dynamics in the United King</w:t>
      </w:r>
      <w:r w:rsidR="00EC24BA" w:rsidRPr="000F69C0">
        <w:rPr>
          <w:rFonts w:ascii="Book Antiqua" w:eastAsia="Book Antiqua" w:hAnsi="Book Antiqua" w:cs="Book Antiqua"/>
          <w:sz w:val="24"/>
          <w:szCs w:val="24"/>
        </w:rPr>
        <w:t>dom, showing strict control over irregular migration while maintaining judicial assessment of public good considerations.</w:t>
      </w:r>
      <w:r w:rsidR="00EC24BA" w:rsidRPr="000F69C0">
        <w:rPr>
          <w:rFonts w:ascii="Book Antiqua" w:eastAsia="Book Antiqua" w:hAnsi="Book Antiqua" w:cs="Book Antiqua"/>
          <w:sz w:val="24"/>
          <w:szCs w:val="24"/>
          <w:vertAlign w:val="superscript"/>
        </w:rPr>
        <w:footnoteReference w:id="4"/>
      </w:r>
      <w:r w:rsidR="00EC24BA" w:rsidRPr="000F69C0">
        <w:rPr>
          <w:rFonts w:ascii="Book Antiqua" w:eastAsia="Book Antiqua" w:hAnsi="Book Antiqua" w:cs="Book Antiqua"/>
          <w:sz w:val="24"/>
          <w:szCs w:val="24"/>
        </w:rPr>
        <w:t xml:space="preserve"> However, prior studies still have a basic limitation: many remain confined to descriptive readings of domestic statutory provisions a</w:t>
      </w:r>
      <w:r w:rsidR="00EC24BA" w:rsidRPr="000F69C0">
        <w:rPr>
          <w:rFonts w:ascii="Book Antiqua" w:eastAsia="Book Antiqua" w:hAnsi="Book Antiqua" w:cs="Book Antiqua"/>
          <w:sz w:val="24"/>
          <w:szCs w:val="24"/>
        </w:rPr>
        <w:t>nd rarely conduct cross-system comparisons between civil law and common law to assess how judicial-control mechanisms constrain immigration officials' discretion.</w:t>
      </w:r>
    </w:p>
    <w:p w:rsidR="006F25A1" w:rsidRPr="000F69C0" w:rsidRDefault="00EC24BA">
      <w:pPr>
        <w:spacing w:before="240" w:after="24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To address these theoretical and literature gaps, this article offers a substantive comparati</w:t>
      </w:r>
      <w:r w:rsidRPr="000F69C0">
        <w:rPr>
          <w:rFonts w:ascii="Book Antiqua" w:eastAsia="Book Antiqua" w:hAnsi="Book Antiqua" w:cs="Book Antiqua"/>
          <w:sz w:val="24"/>
          <w:szCs w:val="24"/>
        </w:rPr>
        <w:t>ve examination of the Indonesian and British immigration systems. Its scientific contribution lies in unpacking Indonesia’s ministerial discretionary space, which tends to enjoy strong legal insulation, and contrasting it with the British model that incorp</w:t>
      </w:r>
      <w:r w:rsidRPr="000F69C0">
        <w:rPr>
          <w:rFonts w:ascii="Book Antiqua" w:eastAsia="Book Antiqua" w:hAnsi="Book Antiqua" w:cs="Book Antiqua"/>
          <w:sz w:val="24"/>
          <w:szCs w:val="24"/>
        </w:rPr>
        <w:t xml:space="preserve">orates independent oversight through the First-tier Tribunal. From this global </w:t>
      </w:r>
      <w:r w:rsidR="000F69C0" w:rsidRPr="000F69C0">
        <w:rPr>
          <w:rFonts w:ascii="Book Antiqua" w:eastAsia="Book Antiqua" w:hAnsi="Book Antiqua" w:cs="Book Antiqua"/>
          <w:sz w:val="24"/>
          <w:szCs w:val="24"/>
        </w:rPr>
        <w:t xml:space="preserve">perspective, the comparative study is expected to serve as a theoretical blueprint for reforming Indonesian immigration law so that sovereignty protection and the principle of </w:t>
      </w:r>
      <w:r w:rsidRPr="000F69C0">
        <w:rPr>
          <w:rFonts w:ascii="Book Antiqua" w:eastAsia="Book Antiqua" w:hAnsi="Book Antiqua" w:cs="Book Antiqua"/>
          <w:sz w:val="24"/>
          <w:szCs w:val="24"/>
        </w:rPr>
        <w:t>due process of l</w:t>
      </w:r>
      <w:r w:rsidRPr="000F69C0">
        <w:rPr>
          <w:rFonts w:ascii="Book Antiqua" w:eastAsia="Book Antiqua" w:hAnsi="Book Antiqua" w:cs="Book Antiqua"/>
          <w:sz w:val="24"/>
          <w:szCs w:val="24"/>
        </w:rPr>
        <w:t xml:space="preserve">aw </w:t>
      </w:r>
      <w:r w:rsidRPr="000F69C0">
        <w:rPr>
          <w:rFonts w:ascii="Book Antiqua" w:eastAsia="Book Antiqua" w:hAnsi="Book Antiqua" w:cs="Book Antiqua"/>
          <w:sz w:val="24"/>
          <w:szCs w:val="24"/>
        </w:rPr>
        <w:t>can be balanced.</w:t>
      </w:r>
    </w:p>
    <w:p w:rsidR="006F25A1" w:rsidRPr="000F69C0" w:rsidRDefault="000F69C0">
      <w:pPr>
        <w:spacing w:before="240" w:after="240" w:line="276" w:lineRule="auto"/>
        <w:ind w:firstLine="720"/>
        <w:rPr>
          <w:rFonts w:ascii="Book Antiqua" w:eastAsia="Book Antiqua" w:hAnsi="Book Antiqua" w:cs="Book Antiqua"/>
          <w:sz w:val="24"/>
          <w:szCs w:val="24"/>
        </w:rPr>
      </w:pPr>
      <w:r>
        <w:rPr>
          <w:rFonts w:ascii="Book Antiqua" w:eastAsia="Book Antiqua" w:hAnsi="Book Antiqua" w:cs="Book Antiqua"/>
          <w:sz w:val="24"/>
          <w:szCs w:val="24"/>
        </w:rPr>
        <w:t>To</w:t>
      </w:r>
      <w:r w:rsidRPr="000F69C0">
        <w:rPr>
          <w:rFonts w:ascii="Book Antiqua" w:eastAsia="Book Antiqua" w:hAnsi="Book Antiqua" w:cs="Book Antiqua"/>
          <w:sz w:val="24"/>
          <w:szCs w:val="24"/>
        </w:rPr>
        <w:t xml:space="preserve"> </w:t>
      </w:r>
      <w:r>
        <w:rPr>
          <w:rFonts w:ascii="Book Antiqua" w:eastAsia="Book Antiqua" w:hAnsi="Book Antiqua" w:cs="Book Antiqua"/>
          <w:sz w:val="24"/>
          <w:szCs w:val="24"/>
        </w:rPr>
        <w:t>systematically</w:t>
      </w:r>
      <w:r w:rsidR="00EC24BA" w:rsidRPr="000F69C0">
        <w:rPr>
          <w:rFonts w:ascii="Book Antiqua" w:eastAsia="Book Antiqua" w:hAnsi="Book Antiqua" w:cs="Book Antiqua"/>
          <w:sz w:val="24"/>
          <w:szCs w:val="24"/>
        </w:rPr>
        <w:t xml:space="preserve"> test and analy</w:t>
      </w:r>
      <w:r w:rsidRPr="000F69C0">
        <w:rPr>
          <w:rFonts w:ascii="Book Antiqua" w:eastAsia="Book Antiqua" w:hAnsi="Book Antiqua" w:cs="Book Antiqua"/>
          <w:sz w:val="24"/>
          <w:szCs w:val="24"/>
        </w:rPr>
        <w:t>s</w:t>
      </w:r>
      <w:r w:rsidR="00EC24BA" w:rsidRPr="000F69C0">
        <w:rPr>
          <w:rFonts w:ascii="Book Antiqua" w:eastAsia="Book Antiqua" w:hAnsi="Book Antiqua" w:cs="Book Antiqua"/>
          <w:sz w:val="24"/>
          <w:szCs w:val="24"/>
        </w:rPr>
        <w:t xml:space="preserve">e this </w:t>
      </w:r>
      <w:r w:rsidR="00EC24BA" w:rsidRPr="000F69C0">
        <w:rPr>
          <w:rFonts w:ascii="Book Antiqua" w:eastAsia="Book Antiqua" w:hAnsi="Book Antiqua" w:cs="Book Antiqua"/>
          <w:sz w:val="24"/>
          <w:szCs w:val="24"/>
        </w:rPr>
        <w:t>balance, the article is organi</w:t>
      </w:r>
      <w:r w:rsidRPr="000F69C0">
        <w:rPr>
          <w:rFonts w:ascii="Book Antiqua" w:eastAsia="Book Antiqua" w:hAnsi="Book Antiqua" w:cs="Book Antiqua"/>
          <w:sz w:val="24"/>
          <w:szCs w:val="24"/>
        </w:rPr>
        <w:t>s</w:t>
      </w:r>
      <w:r w:rsidR="00EC24BA" w:rsidRPr="000F69C0">
        <w:rPr>
          <w:rFonts w:ascii="Book Antiqua" w:eastAsia="Book Antiqua" w:hAnsi="Book Antiqua" w:cs="Book Antiqua"/>
          <w:sz w:val="24"/>
          <w:szCs w:val="24"/>
        </w:rPr>
        <w:t xml:space="preserve">ed around four main research questions. The first part discusses the philosophical conception of state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61312" behindDoc="0" locked="0" layoutInCell="1" allowOverlap="1" wp14:anchorId="4D76269C" wp14:editId="48B41998">
                <wp:simplePos x="0" y="0"/>
                <wp:positionH relativeFrom="column">
                  <wp:posOffset>5598795</wp:posOffset>
                </wp:positionH>
                <wp:positionV relativeFrom="paragraph">
                  <wp:posOffset>-363432</wp:posOffset>
                </wp:positionV>
                <wp:extent cx="417689" cy="383822"/>
                <wp:effectExtent l="0" t="0" r="1905" b="0"/>
                <wp:wrapNone/>
                <wp:docPr id="6" name="Text Box 6"/>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6" o:spid="_x0000_s1027" type="#_x0000_t202" style="position:absolute;left:0;text-align:left;margin-left:440.85pt;margin-top:-28.6pt;width:32.9pt;height:3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Il1QwIAAH8EAAAOAAAAZHJzL2Uyb0RvYy54bWysVE1vGjEQvVfqf7B8L8tXCFmxRJSIqhJK&#13;&#10;IpEqZ+O1WUtej2sbdumv79gLhKQ9Vb2Y8czs87w3M8zu21qTg3BegSnooNenRBgOpTK7gv54WX2Z&#13;&#10;UuIDMyXTYERBj8LT+/nnT7PG5mIIFehSOIIgxueNLWgVgs2zzPNK1Mz3wAqDQQmuZgGvbpeVjjWI&#13;&#10;Xuts2O9PsgZcaR1w4T16H7ognSd8KQUPT1J6EYguKNYW0unSuY1nNp+xfOeYrRQ/lcH+oYqaKYOP&#13;&#10;XqAeWGBk79QfULXiDjzI0ONQZyCl4iJxQDaD/gc2m4pZkbigON5eZPL/D5Y/Hp4dUWVBJ5QYVmOL&#13;&#10;XkQbyFdoySSq01ifY9LGYlpo0Y1dPvs9OiPpVro6/iIdgnHU+XjRNoJxdI4Ht5PpHSUcQ6PpaDoc&#13;&#10;RpTs7WPrfPgmoCbRKKjD1iVF2WHtQ5d6TolvedCqXCmt0yWOi1hqRw4MG61DKhHB32VpQxrkObrp&#13;&#10;J2AD8fMOWRusJVLtKEUrtNs2CXOhu4XyiCo46KbIW75SWOua+fDMHI4NEsdVCE94SA34FpwsSipw&#13;&#10;v/7mj/nYTYxS0uAYFtT/3DMnKNHfDfb5bjAex7lNl/HN7RAv7jqyvY6Yfb0EFGCAS2d5MmN+0GdT&#13;&#10;OqhfcWMW8VUMMcPx7YKGs7kM3XLgxnGxWKQknFTLwtpsLI/QUfDYiZf2lTl7alfAPj/CeWBZ/qFr&#13;&#10;XW780sBiH0Cq1NKoc6fqSX6c8jQUp42Ma3R9T1lv/xvz3wAAAP//AwBQSwMEFAAGAAgAAAAhAAx7&#13;&#10;tqXkAAAADgEAAA8AAABkcnMvZG93bnJldi54bWxMT0tPg0AQvpv4HzZj4sW0S0EKUpbG+KiJtxYf&#13;&#10;8bZlRyCys4TdAv5715NeJvky3zPfzrpjIw62NSRgtQyAIVVGtVQLeCkfFykw6yQp2RlCAd9oYVuc&#13;&#10;n+UyU2aiPY4HVzNvQjaTAhrn+oxzWzWopV2aHsn/Ps2gpfNwqLka5OTNdcfDIFhzLVvyCY3s8a7B&#13;&#10;6utw0gI+rur3ZzvvXqcojvqHp7FM3lQpxOXFfL/x53YDzOHs/hTwu8H3h8IXO5oTKcs6AWm6SjxV&#13;&#10;wCJOQmCecXOdxMCOAqIQeJHz/zOKHwAAAP//AwBQSwECLQAUAAYACAAAACEAtoM4kv4AAADhAQAA&#13;&#10;EwAAAAAAAAAAAAAAAAAAAAAAW0NvbnRlbnRfVHlwZXNdLnhtbFBLAQItABQABgAIAAAAIQA4/SH/&#13;&#10;1gAAAJQBAAALAAAAAAAAAAAAAAAAAC8BAABfcmVscy8ucmVsc1BLAQItABQABgAIAAAAIQBCvIl1&#13;&#10;QwIAAH8EAAAOAAAAAAAAAAAAAAAAAC4CAABkcnMvZTJvRG9jLnhtbFBLAQItABQABgAIAAAAIQAM&#13;&#10;e7al5AAAAA4BAAAPAAAAAAAAAAAAAAAAAJ0EAABkcnMvZG93bnJldi54bWxQSwUGAAAAAAQABADz&#13;&#10;AAAArgU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30</w:t>
                      </w:r>
                    </w:p>
                  </w:txbxContent>
                </v:textbox>
              </v:shape>
            </w:pict>
          </mc:Fallback>
        </mc:AlternateContent>
      </w:r>
      <w:r w:rsidR="00EC24BA" w:rsidRPr="000F69C0">
        <w:rPr>
          <w:rFonts w:ascii="Book Antiqua" w:eastAsia="Book Antiqua" w:hAnsi="Book Antiqua" w:cs="Book Antiqua"/>
          <w:sz w:val="24"/>
          <w:szCs w:val="24"/>
        </w:rPr>
        <w:t>sovereignty in entry-ban policy. The se</w:t>
      </w:r>
      <w:r w:rsidR="00EC24BA" w:rsidRPr="000F69C0">
        <w:rPr>
          <w:rFonts w:ascii="Book Antiqua" w:eastAsia="Book Antiqua" w:hAnsi="Book Antiqua" w:cs="Book Antiqua"/>
          <w:sz w:val="24"/>
          <w:szCs w:val="24"/>
        </w:rPr>
        <w:t xml:space="preserve">cond and third parts then explain the entry-ban systems in Indonesia and the United Kingdom while identifying their essential similarities and differences. The final part examines practical implementation challenges and formulates concrete recommendations </w:t>
      </w:r>
      <w:r w:rsidR="00EC24BA" w:rsidRPr="000F69C0">
        <w:rPr>
          <w:rFonts w:ascii="Book Antiqua" w:eastAsia="Book Antiqua" w:hAnsi="Book Antiqua" w:cs="Book Antiqua"/>
          <w:sz w:val="24"/>
          <w:szCs w:val="24"/>
        </w:rPr>
        <w:t>for reforming Indonesia’s immigration legal structure.</w:t>
      </w:r>
    </w:p>
    <w:p w:rsidR="006F25A1" w:rsidRPr="000F69C0" w:rsidRDefault="00EC24BA">
      <w:pPr>
        <w:pStyle w:val="Heading1"/>
        <w:numPr>
          <w:ilvl w:val="0"/>
          <w:numId w:val="1"/>
        </w:numPr>
        <w:spacing w:line="276" w:lineRule="auto"/>
        <w:ind w:left="284"/>
        <w:rPr>
          <w:sz w:val="24"/>
          <w:szCs w:val="24"/>
        </w:rPr>
      </w:pPr>
      <w:bookmarkStart w:id="1" w:name="_qj4c2rcodv0m" w:colFirst="0" w:colLast="0"/>
      <w:bookmarkEnd w:id="1"/>
      <w:r w:rsidRPr="000F69C0">
        <w:rPr>
          <w:sz w:val="24"/>
          <w:szCs w:val="24"/>
        </w:rPr>
        <w:t xml:space="preserve"> </w:t>
      </w:r>
      <w:r w:rsidRPr="000F69C0">
        <w:rPr>
          <w:rFonts w:ascii="Book Antiqua" w:eastAsia="Book Antiqua" w:hAnsi="Book Antiqua" w:cs="Book Antiqua"/>
          <w:sz w:val="24"/>
          <w:szCs w:val="24"/>
        </w:rPr>
        <w:t xml:space="preserve">Method </w:t>
      </w:r>
    </w:p>
    <w:p w:rsidR="006F25A1" w:rsidRPr="000F69C0" w:rsidRDefault="00EC24BA">
      <w:pPr>
        <w:spacing w:before="240" w:after="24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This research is normative legal research with a descriptive-analytical character. The methodological perspective combines theoretical-philosophical analysis with positive-law study in order t</w:t>
      </w:r>
      <w:r w:rsidRPr="000F69C0">
        <w:rPr>
          <w:rFonts w:ascii="Book Antiqua" w:eastAsia="Book Antiqua" w:hAnsi="Book Antiqua" w:cs="Book Antiqua"/>
          <w:sz w:val="24"/>
          <w:szCs w:val="24"/>
        </w:rPr>
        <w:t>o examine immigration norms in depth. The approaches used include a statutory approach by reviewing Law No. 6 of 2011 concerning Immigration (Indonesia) and the Immigration Act 1971 (United Kingdom), as well as a conceptual approach to analyze the doctrine</w:t>
      </w:r>
      <w:r w:rsidRPr="000F69C0">
        <w:rPr>
          <w:rFonts w:ascii="Book Antiqua" w:eastAsia="Book Antiqua" w:hAnsi="Book Antiqua" w:cs="Book Antiqua"/>
          <w:sz w:val="24"/>
          <w:szCs w:val="24"/>
        </w:rPr>
        <w:t xml:space="preserve">s of state sovereignty and jus exclusionis. This study also applies a comparative approach to identify the similarities, differences, strengths, and weaknesses of the entry-ban mechanisms in Indonesia’s civil law system and the United Kingdom’s common law </w:t>
      </w:r>
      <w:r w:rsidRPr="000F69C0">
        <w:rPr>
          <w:rFonts w:ascii="Book Antiqua" w:eastAsia="Book Antiqua" w:hAnsi="Book Antiqua" w:cs="Book Antiqua"/>
          <w:sz w:val="24"/>
          <w:szCs w:val="24"/>
        </w:rPr>
        <w:t>system.</w:t>
      </w:r>
    </w:p>
    <w:p w:rsidR="006F25A1" w:rsidRPr="000F69C0" w:rsidRDefault="00EC24BA">
      <w:pPr>
        <w:spacing w:before="240" w:after="24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Data were collected through library research</w:t>
      </w:r>
      <w:r w:rsidRPr="000F69C0">
        <w:rPr>
          <w:rFonts w:ascii="Book Antiqua" w:eastAsia="Book Antiqua" w:hAnsi="Book Antiqua" w:cs="Book Antiqua"/>
          <w:sz w:val="24"/>
          <w:szCs w:val="24"/>
        </w:rPr>
        <w:t xml:space="preserve">, consisting of primary legal materials (immigration regulations from both countries) and secondary legal materials (textbooks, legal opinions, and official academic journal </w:t>
      </w:r>
      <w:r w:rsidRPr="000F69C0">
        <w:rPr>
          <w:rFonts w:ascii="Book Antiqua" w:eastAsia="Book Antiqua" w:hAnsi="Book Antiqua" w:cs="Book Antiqua"/>
          <w:sz w:val="24"/>
          <w:szCs w:val="24"/>
        </w:rPr>
        <w:t>articles). The collected materials were systematized, critically reviewed using qualitative analysis, and concluded through a deductive-prescriptive method to produce valid and applicable recommendations for legal reform.</w:t>
      </w:r>
    </w:p>
    <w:p w:rsidR="006F25A1" w:rsidRPr="000F69C0" w:rsidRDefault="00EC24BA" w:rsidP="000F69C0">
      <w:pPr>
        <w:pStyle w:val="Heading1"/>
        <w:numPr>
          <w:ilvl w:val="0"/>
          <w:numId w:val="1"/>
        </w:numPr>
        <w:ind w:left="284"/>
        <w:rPr>
          <w:sz w:val="24"/>
          <w:szCs w:val="24"/>
        </w:rPr>
      </w:pPr>
      <w:bookmarkStart w:id="2" w:name="_e7shcfhfah0n" w:colFirst="0" w:colLast="0"/>
      <w:bookmarkEnd w:id="2"/>
      <w:r w:rsidRPr="000F69C0">
        <w:rPr>
          <w:sz w:val="24"/>
          <w:szCs w:val="24"/>
        </w:rPr>
        <w:t xml:space="preserve"> </w:t>
      </w:r>
      <w:r w:rsidRPr="000F69C0">
        <w:rPr>
          <w:rFonts w:ascii="Book Antiqua" w:eastAsia="Book Antiqua" w:hAnsi="Book Antiqua" w:cs="Book Antiqua"/>
          <w:sz w:val="24"/>
          <w:szCs w:val="24"/>
        </w:rPr>
        <w:t xml:space="preserve">Result </w:t>
      </w:r>
      <w:r w:rsidRPr="000F69C0">
        <w:rPr>
          <w:rFonts w:ascii="Book Antiqua" w:eastAsia="Book Antiqua" w:hAnsi="Book Antiqua" w:cs="Book Antiqua"/>
          <w:i/>
          <w:iCs/>
          <w:sz w:val="24"/>
          <w:szCs w:val="24"/>
        </w:rPr>
        <w:t>&amp;</w:t>
      </w:r>
      <w:r w:rsidRPr="000F69C0">
        <w:rPr>
          <w:rFonts w:ascii="Book Antiqua" w:eastAsia="Book Antiqua" w:hAnsi="Book Antiqua" w:cs="Book Antiqua"/>
          <w:sz w:val="24"/>
          <w:szCs w:val="24"/>
        </w:rPr>
        <w:t xml:space="preserve"> Discussion </w:t>
      </w:r>
    </w:p>
    <w:p w:rsidR="006F25A1" w:rsidRPr="000F69C0" w:rsidRDefault="00EC24BA">
      <w:pPr>
        <w:pStyle w:val="Heading2"/>
        <w:numPr>
          <w:ilvl w:val="0"/>
          <w:numId w:val="2"/>
        </w:numPr>
        <w:spacing w:after="0" w:line="276" w:lineRule="auto"/>
        <w:ind w:left="284"/>
        <w:rPr>
          <w:rFonts w:ascii="Book Antiqua" w:eastAsia="Book Antiqua" w:hAnsi="Book Antiqua" w:cs="Book Antiqua"/>
          <w:sz w:val="24"/>
          <w:szCs w:val="24"/>
        </w:rPr>
      </w:pPr>
      <w:bookmarkStart w:id="3" w:name="_5re9xxes2f4b" w:colFirst="0" w:colLast="0"/>
      <w:bookmarkEnd w:id="3"/>
      <w:r w:rsidRPr="000F69C0">
        <w:rPr>
          <w:rFonts w:ascii="Book Antiqua" w:eastAsia="Book Antiqua" w:hAnsi="Book Antiqua" w:cs="Book Antiqua"/>
          <w:sz w:val="24"/>
          <w:szCs w:val="24"/>
        </w:rPr>
        <w:t>T</w:t>
      </w:r>
      <w:r w:rsidRPr="000F69C0">
        <w:rPr>
          <w:rFonts w:ascii="Book Antiqua" w:eastAsia="Book Antiqua" w:hAnsi="Book Antiqua" w:cs="Book Antiqua"/>
          <w:sz w:val="24"/>
          <w:szCs w:val="24"/>
        </w:rPr>
        <w:t>he Concept</w:t>
      </w:r>
      <w:r w:rsidRPr="000F69C0">
        <w:rPr>
          <w:rFonts w:ascii="Book Antiqua" w:eastAsia="Book Antiqua" w:hAnsi="Book Antiqua" w:cs="Book Antiqua"/>
          <w:sz w:val="24"/>
          <w:szCs w:val="24"/>
        </w:rPr>
        <w:t xml:space="preserve"> of State Sovereignty and Entry Ban Policy</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State sovereignty is the foundational concept on which modern immigration law is built. In classical </w:t>
      </w:r>
      <w:r w:rsidR="000F69C0">
        <w:rPr>
          <w:rFonts w:ascii="Book Antiqua" w:eastAsia="Book Antiqua" w:hAnsi="Book Antiqua" w:cs="Book Antiqua"/>
          <w:sz w:val="24"/>
          <w:szCs w:val="24"/>
        </w:rPr>
        <w:t>international law doctrine, sovereignty means the state possesses supreme and exclusive power within its territorial borders, including the authority</w:t>
      </w:r>
      <w:r w:rsidRPr="000F69C0">
        <w:rPr>
          <w:rFonts w:ascii="Book Antiqua" w:eastAsia="Book Antiqua" w:hAnsi="Book Antiqua" w:cs="Book Antiqua"/>
          <w:sz w:val="24"/>
          <w:szCs w:val="24"/>
        </w:rPr>
        <w:t xml:space="preserve"> to decide who may enter or be denied entry, a principle generally known as jus exclusionis.</w:t>
      </w:r>
      <w:r w:rsidRPr="000F69C0">
        <w:rPr>
          <w:rFonts w:ascii="Book Antiqua" w:eastAsia="Book Antiqua" w:hAnsi="Book Antiqua" w:cs="Book Antiqua"/>
          <w:sz w:val="24"/>
          <w:szCs w:val="24"/>
          <w:vertAlign w:val="superscript"/>
        </w:rPr>
        <w:footnoteReference w:id="5"/>
      </w:r>
      <w:r w:rsidRPr="000F69C0">
        <w:rPr>
          <w:rFonts w:ascii="Book Antiqua" w:eastAsia="Book Antiqua" w:hAnsi="Book Antiqua" w:cs="Book Antiqua"/>
          <w:sz w:val="24"/>
          <w:szCs w:val="24"/>
        </w:rPr>
        <w:t xml:space="preserve"> This doctrine has been acknowledged since the Westphalian period as an inherent prerogative of every soverei</w:t>
      </w:r>
      <w:r w:rsidRPr="000F69C0">
        <w:rPr>
          <w:rFonts w:ascii="Book Antiqua" w:eastAsia="Book Antiqua" w:hAnsi="Book Antiqua" w:cs="Book Antiqua"/>
          <w:sz w:val="24"/>
          <w:szCs w:val="24"/>
        </w:rPr>
        <w:t>gn state and has been strengthened in contemporary international practice, where sovereign control over immigration is understood not only as a legal entitlement but also as a political necessity linked to national security, public order, and socioeconomic</w:t>
      </w:r>
      <w:r w:rsidRPr="000F69C0">
        <w:rPr>
          <w:rFonts w:ascii="Book Antiqua" w:eastAsia="Book Antiqua" w:hAnsi="Book Antiqua" w:cs="Book Antiqua"/>
          <w:sz w:val="24"/>
          <w:szCs w:val="24"/>
        </w:rPr>
        <w:t xml:space="preserve"> stability.</w:t>
      </w:r>
    </w:p>
    <w:p w:rsidR="006F25A1" w:rsidRPr="000F69C0" w:rsidRDefault="00F343C6">
      <w:pPr>
        <w:spacing w:after="0" w:line="276" w:lineRule="auto"/>
        <w:ind w:firstLine="720"/>
        <w:rPr>
          <w:rFonts w:ascii="Book Antiqua" w:eastAsia="Book Antiqua" w:hAnsi="Book Antiqua" w:cs="Book Antiqua"/>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63360" behindDoc="0" locked="0" layoutInCell="1" allowOverlap="1" wp14:anchorId="4D76269C" wp14:editId="48B41998">
                <wp:simplePos x="0" y="0"/>
                <wp:positionH relativeFrom="column">
                  <wp:posOffset>5621867</wp:posOffset>
                </wp:positionH>
                <wp:positionV relativeFrom="paragraph">
                  <wp:posOffset>-384175</wp:posOffset>
                </wp:positionV>
                <wp:extent cx="417689" cy="383822"/>
                <wp:effectExtent l="0" t="0" r="1905" b="0"/>
                <wp:wrapNone/>
                <wp:docPr id="7" name="Text Box 7"/>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7" o:spid="_x0000_s1028" type="#_x0000_t202" style="position:absolute;left:0;text-align:left;margin-left:442.65pt;margin-top:-30.25pt;width:32.9pt;height:3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fV9QwIAAH8EAAAOAAAAZHJzL2Uyb0RvYy54bWysVE1vGjEQvVfqf7B8L8tXgKxYIkpEVSlK&#13;&#10;IkGVs/F6wZLtcW3DLv31HXv5StpT1YsZz8w+z7w3w/Sh0YochPMSTEF7nS4lwnAopdkW9Md6+WVC&#13;&#10;iQ/MlEyBEQU9Ck8fZp8/TWubiz7sQJXCEQQxPq9tQXch2DzLPN8JzXwHrDAYrMBpFvDqtlnpWI3o&#13;&#10;WmX9bneU1eBK64AL79H72AbpLOFXleDhpaq8CEQVFGsL6XTp3MQzm01ZvnXM7iQ/lcH+oQrNpMFH&#13;&#10;L1CPLDCyd/IPKC25Aw9V6HDQGVSV5CL1gN30uh+6We2YFakXJMfbC03+/8Hy58OrI7Is6JgSwzRK&#13;&#10;tBZNIF+hIePITm19jkkri2mhQTeqfPZ7dMamm8rp+IvtEIwjz8cLtxGMo3PYG48m95RwDA0mg0m/&#13;&#10;H1Gy68fW+fBNgCbRKKhD6RKj7PDkQ5t6TolveVCyXEql0iWOi1goRw4MhVYhlYjg77KUIXVBR4O7&#13;&#10;bgI2ED9vkZXBWmKrbUvRCs2mScSkQqNnA+URWXDQTpG3fCmx1ifmwytzODbYOK5CeMGjUoBvwcmi&#13;&#10;ZAfu19/8MR/VxCglNY5hQf3PPXOCEvXdoM73veEwzm26DO/Gfby428jmNmL2egFIQA+XzvJkxvyg&#13;&#10;zmblQL/hxszjqxhihuPbBQ1ncxHa5cCN42I+T0k4qZaFJ7OyPEJHwqMS6+aNOXuSK6DOz3AeWJZ/&#13;&#10;UK3NjV8amO8DVDJJemX1RD9OeRqK00bGNbq9p6zr/8bsNwAAAP//AwBQSwMEFAAGAAgAAAAhACoQ&#13;&#10;VSbkAAAADgEAAA8AAABkcnMvZG93bnJldi54bWxMT0tPg0AQvpv4HzZj4sW0CxIqUpbG+GrizeIj&#13;&#10;3rbsCER2lrBbiv/e8aSXSWa+b75HsZltLyYcfedIQbyMQCDVznTUKHipHhYZCB80Gd07QgXf6GFT&#13;&#10;np4UOjfuSM847UIjWIR8rhW0IQy5lL5u0Wq/dAMSY59utDrwOjbSjPrI4raXl1G0klZ3xA6tHvC2&#13;&#10;xfprd7AKPi6a9yc/P74ekzQZ7rdTdfVmKqXOz+a7NY+bNYiAc/j7gN8OnB9KDrZ3BzJe9AqyLE2Y&#13;&#10;qmCxilIQzLhO4xjEni8xyLKQ/2uUPwAAAP//AwBQSwECLQAUAAYACAAAACEAtoM4kv4AAADhAQAA&#13;&#10;EwAAAAAAAAAAAAAAAAAAAAAAW0NvbnRlbnRfVHlwZXNdLnhtbFBLAQItABQABgAIAAAAIQA4/SH/&#13;&#10;1gAAAJQBAAALAAAAAAAAAAAAAAAAAC8BAABfcmVscy8ucmVsc1BLAQItABQABgAIAAAAIQC+DfV9&#13;&#10;QwIAAH8EAAAOAAAAAAAAAAAAAAAAAC4CAABkcnMvZTJvRG9jLnhtbFBLAQItABQABgAIAAAAIQAq&#13;&#10;EFUm5AAAAA4BAAAPAAAAAAAAAAAAAAAAAJ0EAABkcnMvZG93bnJldi54bWxQSwUGAAAAAAQABADz&#13;&#10;AAAArgU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31</w:t>
                      </w:r>
                    </w:p>
                  </w:txbxContent>
                </v:textbox>
              </v:shape>
            </w:pict>
          </mc:Fallback>
        </mc:AlternateContent>
      </w:r>
      <w:r w:rsidR="000F69C0">
        <w:rPr>
          <w:rFonts w:ascii="Book Antiqua" w:eastAsia="Book Antiqua" w:hAnsi="Book Antiqua" w:cs="Book Antiqua"/>
          <w:sz w:val="24"/>
          <w:szCs w:val="24"/>
        </w:rPr>
        <w:t>In this context, the entry ban is one of the most immediate expressions</w:t>
      </w:r>
      <w:r w:rsidR="00EC24BA" w:rsidRPr="000F69C0">
        <w:rPr>
          <w:rFonts w:ascii="Book Antiqua" w:eastAsia="Book Antiqua" w:hAnsi="Book Antiqua" w:cs="Book Antiqua"/>
          <w:sz w:val="24"/>
          <w:szCs w:val="24"/>
        </w:rPr>
        <w:t xml:space="preserve"> of sovereign prerogative: an administrative preventive action by state authorities to bar a foreign national from entering national territory, either for a limited pe</w:t>
      </w:r>
      <w:r w:rsidR="00EC24BA" w:rsidRPr="000F69C0">
        <w:rPr>
          <w:rFonts w:ascii="Book Antiqua" w:eastAsia="Book Antiqua" w:hAnsi="Book Antiqua" w:cs="Book Antiqua"/>
          <w:sz w:val="24"/>
          <w:szCs w:val="24"/>
        </w:rPr>
        <w:t>riod or permanently, on the basis of national-interest considerations. The United Nations Human Rights Committee has acknowledged that while states maintain sovereign authority to regulate alien entry, that authority must still be exercised within the boun</w:t>
      </w:r>
      <w:r w:rsidR="00EC24BA" w:rsidRPr="000F69C0">
        <w:rPr>
          <w:rFonts w:ascii="Book Antiqua" w:eastAsia="Book Antiqua" w:hAnsi="Book Antiqua" w:cs="Book Antiqua"/>
          <w:sz w:val="24"/>
          <w:szCs w:val="24"/>
        </w:rPr>
        <w:t>daries established by applicable international human rights instruments.</w:t>
      </w:r>
      <w:r w:rsidR="00EC24BA" w:rsidRPr="000F69C0">
        <w:rPr>
          <w:rFonts w:ascii="Book Antiqua" w:eastAsia="Book Antiqua" w:hAnsi="Book Antiqua" w:cs="Book Antiqua"/>
          <w:sz w:val="24"/>
          <w:szCs w:val="24"/>
          <w:vertAlign w:val="superscript"/>
        </w:rPr>
        <w:footnoteReference w:id="6"/>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The conceptual problem emerges when sovereignty is used as a limitless justification. Philip Alston and Ryan Goodman argue that human rights norms have entered the previously exclusi</w:t>
      </w:r>
      <w:r w:rsidRPr="000F69C0">
        <w:rPr>
          <w:rFonts w:ascii="Book Antiqua" w:eastAsia="Book Antiqua" w:hAnsi="Book Antiqua" w:cs="Book Antiqua"/>
          <w:sz w:val="24"/>
          <w:szCs w:val="24"/>
        </w:rPr>
        <w:t>ve sphere of immigration, creating a normative framework that states must observe even when excluding foreign nationals.</w:t>
      </w:r>
      <w:r w:rsidRPr="000F69C0">
        <w:rPr>
          <w:rFonts w:ascii="Book Antiqua" w:eastAsia="Book Antiqua" w:hAnsi="Book Antiqua" w:cs="Book Antiqua"/>
          <w:sz w:val="24"/>
          <w:szCs w:val="24"/>
          <w:vertAlign w:val="superscript"/>
        </w:rPr>
        <w:footnoteReference w:id="7"/>
      </w:r>
      <w:r w:rsidRPr="000F69C0">
        <w:rPr>
          <w:rFonts w:ascii="Book Antiqua" w:eastAsia="Book Antiqua" w:hAnsi="Book Antiqua" w:cs="Book Antiqua"/>
          <w:sz w:val="24"/>
          <w:szCs w:val="24"/>
        </w:rPr>
        <w:t xml:space="preserve"> Consequently, the entry ban stands at the meeting point of two competing imperatives: the state’s inherent right to protect itself fro</w:t>
      </w:r>
      <w:r w:rsidRPr="000F69C0">
        <w:rPr>
          <w:rFonts w:ascii="Book Antiqua" w:eastAsia="Book Antiqua" w:hAnsi="Book Antiqua" w:cs="Book Antiqua"/>
          <w:sz w:val="24"/>
          <w:szCs w:val="24"/>
        </w:rPr>
        <w:t>m external risks and the individual’s right to receive treatment consistent with due process and fundamental human dignity. These dual demands shape the differing approaches of legal systems and make comparison between civil law and common law jurisdiction</w:t>
      </w:r>
      <w:r w:rsidRPr="000F69C0">
        <w:rPr>
          <w:rFonts w:ascii="Book Antiqua" w:eastAsia="Book Antiqua" w:hAnsi="Book Antiqua" w:cs="Book Antiqua"/>
          <w:sz w:val="24"/>
          <w:szCs w:val="24"/>
        </w:rPr>
        <w:t>s especially instructive.</w:t>
      </w:r>
    </w:p>
    <w:p w:rsidR="006F25A1" w:rsidRPr="000F69C0" w:rsidRDefault="00EC24BA">
      <w:pPr>
        <w:spacing w:after="0" w:line="276" w:lineRule="auto"/>
        <w:ind w:firstLine="720"/>
        <w:rPr>
          <w:rFonts w:ascii="Book Antiqua" w:eastAsia="Book Antiqua" w:hAnsi="Book Antiqua" w:cs="Book Antiqua"/>
          <w:b/>
          <w:bCs/>
          <w:sz w:val="24"/>
          <w:szCs w:val="24"/>
        </w:rPr>
      </w:pPr>
      <w:r w:rsidRPr="000F69C0">
        <w:rPr>
          <w:rFonts w:ascii="Book Antiqua" w:eastAsia="Book Antiqua" w:hAnsi="Book Antiqua" w:cs="Book Antiqua"/>
          <w:sz w:val="24"/>
          <w:szCs w:val="24"/>
        </w:rPr>
        <w:t>In Indonesia’s constitutional framework, sovereignty is affirmed in Article 1 paragraph (2) of the 1945 Constitution, which places sovereignty in the hands of the people and authori</w:t>
      </w:r>
      <w:r w:rsidR="000F69C0">
        <w:rPr>
          <w:rFonts w:ascii="Book Antiqua" w:eastAsia="Book Antiqua" w:hAnsi="Book Antiqua" w:cs="Book Antiqua"/>
          <w:sz w:val="24"/>
          <w:szCs w:val="24"/>
        </w:rPr>
        <w:t>s</w:t>
      </w:r>
      <w:r w:rsidRPr="000F69C0">
        <w:rPr>
          <w:rFonts w:ascii="Book Antiqua" w:eastAsia="Book Antiqua" w:hAnsi="Book Antiqua" w:cs="Book Antiqua"/>
          <w:sz w:val="24"/>
          <w:szCs w:val="24"/>
        </w:rPr>
        <w:t>es its exercise by state institutions in accorda</w:t>
      </w:r>
      <w:r w:rsidRPr="000F69C0">
        <w:rPr>
          <w:rFonts w:ascii="Book Antiqua" w:eastAsia="Book Antiqua" w:hAnsi="Book Antiqua" w:cs="Book Antiqua"/>
          <w:sz w:val="24"/>
          <w:szCs w:val="24"/>
        </w:rPr>
        <w:t>nce with the Constitution.</w:t>
      </w:r>
      <w:r w:rsidRPr="000F69C0">
        <w:rPr>
          <w:rFonts w:ascii="Book Antiqua" w:eastAsia="Book Antiqua" w:hAnsi="Book Antiqua" w:cs="Book Antiqua"/>
          <w:sz w:val="24"/>
          <w:szCs w:val="24"/>
          <w:vertAlign w:val="superscript"/>
        </w:rPr>
        <w:footnoteReference w:id="8"/>
      </w:r>
      <w:r w:rsidRPr="000F69C0">
        <w:rPr>
          <w:rFonts w:ascii="Book Antiqua" w:eastAsia="Book Antiqua" w:hAnsi="Book Antiqua" w:cs="Book Antiqua"/>
          <w:sz w:val="24"/>
          <w:szCs w:val="24"/>
        </w:rPr>
        <w:t xml:space="preserve"> This constitutional basis influences immigration policy, as the state controls access to its territory in the name of collective welfare and national security.</w:t>
      </w:r>
    </w:p>
    <w:p w:rsidR="006F25A1" w:rsidRPr="000F69C0" w:rsidRDefault="00EC24BA">
      <w:pPr>
        <w:pStyle w:val="Heading2"/>
        <w:spacing w:after="0" w:line="276" w:lineRule="auto"/>
        <w:rPr>
          <w:rFonts w:ascii="Book Antiqua" w:eastAsia="Book Antiqua" w:hAnsi="Book Antiqua" w:cs="Book Antiqua"/>
          <w:sz w:val="24"/>
          <w:szCs w:val="24"/>
        </w:rPr>
      </w:pPr>
      <w:bookmarkStart w:id="4" w:name="_m58lfkifpx0e" w:colFirst="0" w:colLast="0"/>
      <w:bookmarkEnd w:id="4"/>
      <w:r w:rsidRPr="000F69C0">
        <w:rPr>
          <w:rFonts w:ascii="Book Antiqua" w:eastAsia="Book Antiqua" w:hAnsi="Book Antiqua" w:cs="Book Antiqua"/>
          <w:sz w:val="24"/>
          <w:szCs w:val="24"/>
        </w:rPr>
        <w:t>2. The Entry Ban System in the Immigration Laws of Indonesia and the</w:t>
      </w:r>
      <w:r w:rsidRPr="000F69C0">
        <w:rPr>
          <w:rFonts w:ascii="Book Antiqua" w:eastAsia="Book Antiqua" w:hAnsi="Book Antiqua" w:cs="Book Antiqua"/>
          <w:sz w:val="24"/>
          <w:szCs w:val="24"/>
        </w:rPr>
        <w:t xml:space="preserve"> United Kingdom</w:t>
      </w:r>
    </w:p>
    <w:p w:rsidR="006F25A1" w:rsidRPr="000F69C0" w:rsidRDefault="006F25A1">
      <w:pPr>
        <w:spacing w:after="0" w:line="276" w:lineRule="auto"/>
        <w:rPr>
          <w:rFonts w:ascii="Book Antiqua" w:eastAsia="Book Antiqua" w:hAnsi="Book Antiqua" w:cs="Book Antiqua"/>
          <w:sz w:val="24"/>
          <w:szCs w:val="24"/>
        </w:rPr>
      </w:pPr>
    </w:p>
    <w:p w:rsidR="006F25A1" w:rsidRPr="000F69C0" w:rsidRDefault="00EC24BA">
      <w:pPr>
        <w:numPr>
          <w:ilvl w:val="0"/>
          <w:numId w:val="7"/>
        </w:numPr>
        <w:spacing w:after="0"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The Entry Ban System in Indonesia</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In Indonesia, the principal legal </w:t>
      </w:r>
      <w:r w:rsidR="000F69C0">
        <w:rPr>
          <w:rFonts w:ascii="Book Antiqua" w:eastAsia="Book Antiqua" w:hAnsi="Book Antiqua" w:cs="Book Antiqua"/>
          <w:sz w:val="24"/>
          <w:szCs w:val="24"/>
        </w:rPr>
        <w:t>basis</w:t>
      </w:r>
      <w:r w:rsidRPr="000F69C0">
        <w:rPr>
          <w:rFonts w:ascii="Book Antiqua" w:eastAsia="Book Antiqua" w:hAnsi="Book Antiqua" w:cs="Book Antiqua"/>
          <w:sz w:val="24"/>
          <w:szCs w:val="24"/>
        </w:rPr>
        <w:t xml:space="preserve"> for the entry-ban mechanism is Law Number 6 of 2011 concerning Immigration, </w:t>
      </w:r>
      <w:r w:rsidRPr="000F69C0">
        <w:rPr>
          <w:rFonts w:ascii="Book Antiqua" w:eastAsia="Book Antiqua" w:hAnsi="Book Antiqua" w:cs="Book Antiqua"/>
          <w:sz w:val="24"/>
          <w:szCs w:val="24"/>
        </w:rPr>
        <w:t>further detailed in Government Regulation Number 31 of 2013 and Minister of</w:t>
      </w:r>
      <w:r w:rsidRPr="000F69C0">
        <w:rPr>
          <w:rFonts w:ascii="Book Antiqua" w:eastAsia="Book Antiqua" w:hAnsi="Book Antiqua" w:cs="Book Antiqua"/>
          <w:sz w:val="24"/>
          <w:szCs w:val="24"/>
        </w:rPr>
        <w:t xml:space="preserve"> Law and Human Rights Regulation Number 34 of 2021. Article 1 point 32 of Law Number 6 of 2011 defines an entry ban (penangkalan) as a prohibition on a foreign national entering Indonesian territory for reasons determined by the Minister.</w:t>
      </w:r>
      <w:r w:rsidRPr="000F69C0">
        <w:rPr>
          <w:rFonts w:ascii="Book Antiqua" w:eastAsia="Book Antiqua" w:hAnsi="Book Antiqua" w:cs="Book Antiqua"/>
          <w:sz w:val="24"/>
          <w:szCs w:val="24"/>
          <w:vertAlign w:val="superscript"/>
        </w:rPr>
        <w:footnoteReference w:id="9"/>
      </w:r>
      <w:r w:rsidRPr="000F69C0">
        <w:rPr>
          <w:rFonts w:ascii="Book Antiqua" w:eastAsia="Book Antiqua" w:hAnsi="Book Antiqua" w:cs="Book Antiqua"/>
          <w:sz w:val="24"/>
          <w:szCs w:val="24"/>
        </w:rPr>
        <w:t xml:space="preserve"> The power to iss</w:t>
      </w:r>
      <w:r w:rsidRPr="000F69C0">
        <w:rPr>
          <w:rFonts w:ascii="Book Antiqua" w:eastAsia="Book Antiqua" w:hAnsi="Book Antiqua" w:cs="Book Antiqua"/>
          <w:sz w:val="24"/>
          <w:szCs w:val="24"/>
        </w:rPr>
        <w:t xml:space="preserve">ue an entry ban is held by the Minister of Law and Human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65408" behindDoc="0" locked="0" layoutInCell="1" allowOverlap="1" wp14:anchorId="4D76269C" wp14:editId="48B41998">
                <wp:simplePos x="0" y="0"/>
                <wp:positionH relativeFrom="column">
                  <wp:posOffset>5689600</wp:posOffset>
                </wp:positionH>
                <wp:positionV relativeFrom="paragraph">
                  <wp:posOffset>-382905</wp:posOffset>
                </wp:positionV>
                <wp:extent cx="417689" cy="383822"/>
                <wp:effectExtent l="0" t="0" r="1905" b="0"/>
                <wp:wrapNone/>
                <wp:docPr id="8" name="Text Box 8"/>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8" o:spid="_x0000_s1029" type="#_x0000_t202" style="position:absolute;left:0;text-align:left;margin-left:448pt;margin-top:-30.15pt;width:32.9pt;height:3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vY+RAIAAH8EAAAOAAAAZHJzL2Uyb0RvYy54bWysVE1vGjEQvVfqf7B8L8tXCFmxRJSIqhJK&#13;&#10;IpEqZ+O12ZVsj2sbdumv79gLhKQ9Vb2Y8czs88x7M8zuW63IQThfgynooNenRBgOZW12Bf3xsvoy&#13;&#10;pcQHZkqmwIiCHoWn9/PPn2aNzcUQKlClcARBjM8bW9AqBJtnmeeV0Mz3wAqDQQlOs4BXt8tKxxpE&#13;&#10;1yob9vuTrAFXWgdceI/ehy5I5wlfSsHDk5ReBKIKirWFdLp0buOZzWcs3zlmq5qfymD/UIVmtcFH&#13;&#10;L1APLDCyd/UfULrmDjzI0OOgM5Cy5iL1gN0M+h+62VTMitQLkuPthSb//2D54+HZkbosKAplmEaJ&#13;&#10;XkQbyFdoyTSy01ifY9LGYlpo0Y0qn/0enbHpVjodf7EdgnHk+XjhNoJxdI4Ht5PpHSUcQ6PpaDoc&#13;&#10;RpTs7WPrfPgmQJNoFNShdIlRdlj70KWeU+JbHlRdrmql0iWOi1gqRw4MhVYhlYjg77KUIU1BJ6Ob&#13;&#10;fgI2ED/vkJXBWmKrXUvRCu22TcSMzu1uoTwiCw66KfKWr2qsdc18eGYOxwYbx1UIT3hIBfgWnCxK&#13;&#10;KnC//uaP+agmRilpcAwL6n/umROUqO8Gdb4bjMdxbtNlfHM7xIu7jmyvI2avl4AEDHDpLE9mzA/q&#13;&#10;bEoH+hU3ZhFfxRAzHN8uaDiby9AtB24cF4tFSsJJtSyszcbyCB0Jj0q8tK/M2ZNcAXV+hPPAsvyD&#13;&#10;al1u/NLAYh9A1knSyHPH6ol+nPI0FKeNjGt0fU9Zb/8b898AAAD//wMAUEsDBBQABgAIAAAAIQBC&#13;&#10;XY+N5AAAAA0BAAAPAAAAZHJzL2Rvd25yZXYueG1sTI/NTsMwEITvSLyDtUhcUOuUiLRN41SIX4kb&#13;&#10;TQFxc+MliYjXUewm4e3ZnuCy0mpnZufLtpNtxYC9bxwpWMwjEEilMw1VCvbF42wFwgdNRreOUMEP&#13;&#10;etjm52eZTo0b6RWHXagEh5BPtYI6hC6V0pc1Wu3nrkPi25frrQ689pU0vR453LbyOooSaXVD/KHW&#13;&#10;Hd7VWH7vjlbB51X18eKnp7cxvom7h+ehWL6bQqnLi+l+w+N2AyLgFP4ccGLg/pBzsYM7kvGiVbBa&#13;&#10;JwwUFMySKAbBinWyYKLDSSrzTP6nyH8BAAD//wMAUEsBAi0AFAAGAAgAAAAhALaDOJL+AAAA4QEA&#13;&#10;ABMAAAAAAAAAAAAAAAAAAAAAAFtDb250ZW50X1R5cGVzXS54bWxQSwECLQAUAAYACAAAACEAOP0h&#13;&#10;/9YAAACUAQAACwAAAAAAAAAAAAAAAAAvAQAAX3JlbHMvLnJlbHNQSwECLQAUAAYACAAAACEA0I72&#13;&#10;PkQCAAB/BAAADgAAAAAAAAAAAAAAAAAuAgAAZHJzL2Uyb0RvYy54bWxQSwECLQAUAAYACAAAACEA&#13;&#10;Ql2PjeQAAAANAQAADwAAAAAAAAAAAAAAAACeBAAAZHJzL2Rvd25yZXYueG1sUEsFBgAAAAAEAAQA&#13;&#10;8wAAAK8FA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32</w:t>
                      </w:r>
                    </w:p>
                  </w:txbxContent>
                </v:textbox>
              </v:shape>
            </w:pict>
          </mc:Fallback>
        </mc:AlternateContent>
      </w:r>
      <w:r w:rsidRPr="000F69C0">
        <w:rPr>
          <w:rFonts w:ascii="Book Antiqua" w:eastAsia="Book Antiqua" w:hAnsi="Book Antiqua" w:cs="Book Antiqua"/>
          <w:sz w:val="24"/>
          <w:szCs w:val="24"/>
        </w:rPr>
        <w:t>Rights, who may act based on recommendations from immigration officers, the National Intelligence Agency, the National Police, the Attorney General’s Office, or other relevant government institutions</w:t>
      </w:r>
      <w:r w:rsidRPr="000F69C0">
        <w:rPr>
          <w:rFonts w:ascii="Book Antiqua" w:eastAsia="Book Antiqua" w:hAnsi="Book Antiqua" w:cs="Book Antiqua"/>
          <w:sz w:val="24"/>
          <w:szCs w:val="24"/>
        </w:rPr>
        <w:t>.</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In Indonesia, an entry ban may apply for one to two years, may be extended when considered necessary, or may even be imposed permanently depending on the seriousness of the grounds for the prohibition. Yet one of the most important structural weaknesses </w:t>
      </w:r>
      <w:r w:rsidRPr="000F69C0">
        <w:rPr>
          <w:rFonts w:ascii="Book Antiqua" w:eastAsia="Book Antiqua" w:hAnsi="Book Antiqua" w:cs="Book Antiqua"/>
          <w:sz w:val="24"/>
          <w:szCs w:val="24"/>
        </w:rPr>
        <w:t>in the Indonesian entry-ban system is the lack of an independent judicial supervision mechanism. The current framework does not establish a specific immigration tribunal with authority to review the substantive merits of entry-ban decisions. Although the S</w:t>
      </w:r>
      <w:r w:rsidRPr="000F69C0">
        <w:rPr>
          <w:rFonts w:ascii="Book Antiqua" w:eastAsia="Book Antiqua" w:hAnsi="Book Antiqua" w:cs="Book Antiqua"/>
          <w:sz w:val="24"/>
          <w:szCs w:val="24"/>
        </w:rPr>
        <w:t>tate Administrative Court (Pengadilan Tata Usaha Negara) theoretically has jurisdiction over administrative decisions, foreign nationals affected by entry bans face practical barriers due to procedural requirements and restrictive legal-standing rules.</w:t>
      </w:r>
      <w:r w:rsidRPr="000F69C0">
        <w:rPr>
          <w:rFonts w:ascii="Book Antiqua" w:eastAsia="Book Antiqua" w:hAnsi="Book Antiqua" w:cs="Book Antiqua"/>
          <w:sz w:val="24"/>
          <w:szCs w:val="24"/>
          <w:vertAlign w:val="superscript"/>
        </w:rPr>
        <w:footnoteReference w:id="10"/>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In</w:t>
      </w:r>
      <w:r w:rsidRPr="000F69C0">
        <w:rPr>
          <w:rFonts w:ascii="Book Antiqua" w:eastAsia="Book Antiqua" w:hAnsi="Book Antiqua" w:cs="Book Antiqua"/>
          <w:sz w:val="24"/>
          <w:szCs w:val="24"/>
        </w:rPr>
        <w:t xml:space="preserve"> addition, Indonesian immigration law has not expressly regulated the right of an entry-ban subject to receive formal notification of the reasons for the prohibition, nor has it established a clear procedure for filing an objection or requesting removal fr</w:t>
      </w:r>
      <w:r w:rsidRPr="000F69C0">
        <w:rPr>
          <w:rFonts w:ascii="Book Antiqua" w:eastAsia="Book Antiqua" w:hAnsi="Book Antiqua" w:cs="Book Antiqua"/>
          <w:sz w:val="24"/>
          <w:szCs w:val="24"/>
        </w:rPr>
        <w:t>om the entry-ban list. This creates a structural gap when measured against international human rights standards, especially the right to a fair hearing and the principle of non-arbitrariness under Articles 9 and 13 of the ICCPR, to which Indonesia became a</w:t>
      </w:r>
      <w:r w:rsidRPr="000F69C0">
        <w:rPr>
          <w:rFonts w:ascii="Book Antiqua" w:eastAsia="Book Antiqua" w:hAnsi="Book Antiqua" w:cs="Book Antiqua"/>
          <w:sz w:val="24"/>
          <w:szCs w:val="24"/>
        </w:rPr>
        <w:t xml:space="preserve"> party through Law Number 12 of 2005.</w:t>
      </w:r>
      <w:r w:rsidRPr="000F69C0">
        <w:rPr>
          <w:rFonts w:ascii="Book Antiqua" w:eastAsia="Book Antiqua" w:hAnsi="Book Antiqua" w:cs="Book Antiqua"/>
          <w:sz w:val="24"/>
          <w:szCs w:val="24"/>
          <w:vertAlign w:val="superscript"/>
        </w:rPr>
        <w:footnoteReference w:id="11"/>
      </w:r>
      <w:r w:rsidRPr="000F69C0">
        <w:rPr>
          <w:rFonts w:ascii="Book Antiqua" w:eastAsia="Book Antiqua" w:hAnsi="Book Antiqua" w:cs="Book Antiqua"/>
          <w:sz w:val="24"/>
          <w:szCs w:val="24"/>
        </w:rPr>
        <w:t xml:space="preserve"> The proportionality principle has also not been expressly incorporated into Indonesian immigration law. As a result, entry-ban decisions are not formally required to undergo a balancing assessment between the individu</w:t>
      </w:r>
      <w:r w:rsidRPr="000F69C0">
        <w:rPr>
          <w:rFonts w:ascii="Book Antiqua" w:eastAsia="Book Antiqua" w:hAnsi="Book Antiqua" w:cs="Book Antiqua"/>
          <w:sz w:val="24"/>
          <w:szCs w:val="24"/>
        </w:rPr>
        <w:t>al’s personal interests and the security objective being pursued.</w:t>
      </w:r>
      <w:r w:rsidRPr="000F69C0">
        <w:rPr>
          <w:rFonts w:ascii="Book Antiqua" w:eastAsia="Book Antiqua" w:hAnsi="Book Antiqua" w:cs="Book Antiqua"/>
          <w:sz w:val="24"/>
          <w:szCs w:val="24"/>
          <w:vertAlign w:val="superscript"/>
        </w:rPr>
        <w:footnoteReference w:id="12"/>
      </w:r>
    </w:p>
    <w:p w:rsidR="006F25A1" w:rsidRPr="000F69C0" w:rsidRDefault="006F25A1">
      <w:pPr>
        <w:spacing w:after="0" w:line="276" w:lineRule="auto"/>
        <w:rPr>
          <w:rFonts w:ascii="Book Antiqua" w:eastAsia="Book Antiqua" w:hAnsi="Book Antiqua" w:cs="Book Antiqua"/>
          <w:sz w:val="24"/>
          <w:szCs w:val="24"/>
        </w:rPr>
      </w:pPr>
    </w:p>
    <w:p w:rsidR="006F25A1" w:rsidRPr="000F69C0" w:rsidRDefault="00EC24BA">
      <w:pPr>
        <w:numPr>
          <w:ilvl w:val="0"/>
          <w:numId w:val="7"/>
        </w:numPr>
        <w:spacing w:after="0"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The Entry Ban System in the United Kingdom</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The United Kingdom’s immigration-control framework is based on the Immigration Act 1971, complemented by the UK Borders Act 2007 and the Borders,</w:t>
      </w:r>
      <w:r w:rsidRPr="000F69C0">
        <w:rPr>
          <w:rFonts w:ascii="Book Antiqua" w:eastAsia="Book Antiqua" w:hAnsi="Book Antiqua" w:cs="Book Antiqua"/>
          <w:sz w:val="24"/>
          <w:szCs w:val="24"/>
        </w:rPr>
        <w:t xml:space="preserve"> Citizenship and Immigration Act 2009. The </w:t>
      </w:r>
      <w:r w:rsidR="000F69C0">
        <w:rPr>
          <w:rFonts w:ascii="Book Antiqua" w:eastAsia="Book Antiqua" w:hAnsi="Book Antiqua" w:cs="Book Antiqua"/>
          <w:sz w:val="24"/>
          <w:szCs w:val="24"/>
        </w:rPr>
        <w:t>Secretary</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of</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State</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for</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the</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Home</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Department</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has</w:t>
      </w:r>
      <w:r w:rsidRPr="000F69C0">
        <w:rPr>
          <w:rFonts w:ascii="Book Antiqua" w:eastAsia="Book Antiqua" w:hAnsi="Book Antiqua" w:cs="Book Antiqua"/>
          <w:sz w:val="24"/>
          <w:szCs w:val="24"/>
        </w:rPr>
        <w:t xml:space="preserve"> the </w:t>
      </w:r>
      <w:r w:rsidR="000F69C0">
        <w:rPr>
          <w:rFonts w:ascii="Book Antiqua" w:eastAsia="Book Antiqua" w:hAnsi="Book Antiqua" w:cs="Book Antiqua"/>
          <w:sz w:val="24"/>
          <w:szCs w:val="24"/>
        </w:rPr>
        <w:t>authorit</w:t>
      </w:r>
      <w:r w:rsidRPr="000F69C0">
        <w:rPr>
          <w:rFonts w:ascii="Book Antiqua" w:eastAsia="Book Antiqua" w:hAnsi="Book Antiqua" w:cs="Book Antiqua"/>
          <w:sz w:val="24"/>
          <w:szCs w:val="24"/>
        </w:rPr>
        <w:t xml:space="preserve">y </w:t>
      </w:r>
      <w:r w:rsidR="000F69C0">
        <w:rPr>
          <w:rFonts w:ascii="Book Antiqua" w:eastAsia="Book Antiqua" w:hAnsi="Book Antiqua" w:cs="Book Antiqua"/>
          <w:sz w:val="24"/>
          <w:szCs w:val="24"/>
        </w:rPr>
        <w:t>to</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prevent</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a</w:t>
      </w:r>
      <w:r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foreign</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national</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from entering</w:t>
      </w:r>
      <w:r w:rsidRPr="000F69C0">
        <w:rPr>
          <w:rFonts w:ascii="Book Antiqua" w:eastAsia="Book Antiqua" w:hAnsi="Book Antiqua" w:cs="Book Antiqua"/>
          <w:sz w:val="24"/>
          <w:szCs w:val="24"/>
        </w:rPr>
        <w:t xml:space="preserve"> on grounds such as national security, public order, public health, and the wider public good.</w:t>
      </w:r>
      <w:r w:rsidRPr="000F69C0">
        <w:rPr>
          <w:rFonts w:ascii="Book Antiqua" w:eastAsia="Book Antiqua" w:hAnsi="Book Antiqua" w:cs="Book Antiqua"/>
          <w:sz w:val="24"/>
          <w:szCs w:val="24"/>
          <w:vertAlign w:val="superscript"/>
        </w:rPr>
        <w:footnoteReference w:id="13"/>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The mos</w:t>
      </w:r>
      <w:r w:rsidRPr="000F69C0">
        <w:rPr>
          <w:rFonts w:ascii="Book Antiqua" w:eastAsia="Book Antiqua" w:hAnsi="Book Antiqua" w:cs="Book Antiqua"/>
          <w:sz w:val="24"/>
          <w:szCs w:val="24"/>
        </w:rPr>
        <w:t>t distinctive structural feature of the UK model is institutionali</w:t>
      </w:r>
      <w:r w:rsidR="000F69C0">
        <w:rPr>
          <w:rFonts w:ascii="Book Antiqua" w:eastAsia="Book Antiqua" w:hAnsi="Book Antiqua" w:cs="Book Antiqua"/>
          <w:sz w:val="24"/>
          <w:szCs w:val="24"/>
        </w:rPr>
        <w:t>s</w:t>
      </w:r>
      <w:r w:rsidRPr="000F69C0">
        <w:rPr>
          <w:rFonts w:ascii="Book Antiqua" w:eastAsia="Book Antiqua" w:hAnsi="Book Antiqua" w:cs="Book Antiqua"/>
          <w:sz w:val="24"/>
          <w:szCs w:val="24"/>
        </w:rPr>
        <w:t xml:space="preserve">ed judicial supervision through the Special Immigration Appeals Commission (SIAC), which was created under the SIAC Act 1997. SIAC provides a venue for individuals excluded on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67456" behindDoc="0" locked="0" layoutInCell="1" allowOverlap="1" wp14:anchorId="4D76269C" wp14:editId="48B41998">
                <wp:simplePos x="0" y="0"/>
                <wp:positionH relativeFrom="column">
                  <wp:posOffset>5565422</wp:posOffset>
                </wp:positionH>
                <wp:positionV relativeFrom="paragraph">
                  <wp:posOffset>-392007</wp:posOffset>
                </wp:positionV>
                <wp:extent cx="417689" cy="383822"/>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9" o:spid="_x0000_s1030" type="#_x0000_t202" style="position:absolute;left:0;text-align:left;margin-left:438.2pt;margin-top:-30.85pt;width:32.9pt;height:3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bVRAIAAH8EAAAOAAAAZHJzL2Uyb0RvYy54bWysVE1v2zAMvQ/YfxB0X5yvpokRp8hSZBgQ&#13;&#10;tAWSoWdFlmIDsqhJSuzs14+S4zTtdhp2kSmSeiQfSc8fmkqRk7CuBJ3RQa9PidAc8lIfMvpjt/4y&#13;&#10;pcR5pnOmQIuMnoWjD4vPn+a1ScUQClC5sARBtEtrk9HCe5MmieOFqJjrgREajRJsxTxe7SHJLasR&#13;&#10;vVLJsN+fJDXY3FjgwjnUPrZGuoj4Ugrun6V0whOVUczNx9PGcx/OZDFn6cEyU5T8kgb7hywqVmoM&#13;&#10;eoV6ZJ6Roy3/gKpKbsGB9D0OVQJSllzEGrCaQf9DNduCGRFrQXKcudLk/h8sfzq9WFLmGZ1RolmF&#13;&#10;LdqJxpOv0JBZYKc2LkWnrUE336Aau9zpHSpD0Y20VfhiOQTtyPP5ym0A46gcD+4nU4zB0TSajqbD&#13;&#10;YUBJ3h4b6/w3ARUJQkYtti4yyk4b51vXziXEcqDKfF0qFS9hXMRKWXJi2GjlY4oI/s5LaVJndDK6&#13;&#10;60dgDeF5i6w05hJKbUsKkm/2TSRm3JW7h/yMLFhop8gZvi4x1w1z/oVZHBssHFfBP+MhFWAsuEiU&#13;&#10;FGB//U0f/LGbaKWkxjHMqPt5ZFZQor5r7PNsMB6HuY2X8d39EC/21rK/tehjtQIkYIBLZ3gUg79X&#13;&#10;nSgtVK+4McsQFU1Mc4ydUd+JK98uB24cF8tldMJJNcxv9NbwAB0ID53YNa/Mmku7PPb5CbqBZemH&#13;&#10;rrW+4aWG5dGDLGNLA88tqxf6ccrjUFw2MqzR7T16vf03Fr8BAAD//wMAUEsDBBQABgAIAAAAIQBa&#13;&#10;u9en5QAAAA8BAAAPAAAAZHJzL2Rvd25yZXYueG1sTE/JTsMwEL0j8Q/WIHFBrbOUpKRxKsQqcaNp&#13;&#10;QdzceEgiYjuK3ST8PcMJLiPNvDdvybez7tiIg2utERAuA2BoKqtaUwvYl4+LNTDnpVGyswYFfKOD&#13;&#10;bXF+lstM2cm84rjzNSMR4zIpoPG+zzh3VYNauqXt0RD2aQctPa1DzdUgJxLXHY+CIOFatoYcGtnj&#13;&#10;XYPV1+6kBXxc1e8vbn46TPF13D88j2X6pkohLi/m+w2N2w0wj7P/+4DfDpQfCgp2tCejHOsErNNk&#13;&#10;RVQBiyRMgRHjZhVFwI50CWPgRc7/9yh+AAAA//8DAFBLAQItABQABgAIAAAAIQC2gziS/gAAAOEB&#13;&#10;AAATAAAAAAAAAAAAAAAAAAAAAABbQ29udGVudF9UeXBlc10ueG1sUEsBAi0AFAAGAAgAAAAhADj9&#13;&#10;If/WAAAAlAEAAAsAAAAAAAAAAAAAAAAALwEAAF9yZWxzLy5yZWxzUEsBAi0AFAAGAAgAAAAhAFL6&#13;&#10;VtVEAgAAfwQAAA4AAAAAAAAAAAAAAAAALgIAAGRycy9lMm9Eb2MueG1sUEsBAi0AFAAGAAgAAAAh&#13;&#10;AFq716flAAAADwEAAA8AAAAAAAAAAAAAAAAAngQAAGRycy9kb3ducmV2LnhtbFBLBQYAAAAABAAE&#13;&#10;APMAAACwBQ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33</w:t>
                      </w:r>
                    </w:p>
                  </w:txbxContent>
                </v:textbox>
              </v:shape>
            </w:pict>
          </mc:Fallback>
        </mc:AlternateContent>
      </w:r>
      <w:r w:rsidRPr="000F69C0">
        <w:rPr>
          <w:rFonts w:ascii="Book Antiqua" w:eastAsia="Book Antiqua" w:hAnsi="Book Antiqua" w:cs="Book Antiqua"/>
          <w:sz w:val="24"/>
          <w:szCs w:val="24"/>
        </w:rPr>
        <w:t>national-secu</w:t>
      </w:r>
      <w:r w:rsidRPr="000F69C0">
        <w:rPr>
          <w:rFonts w:ascii="Book Antiqua" w:eastAsia="Book Antiqua" w:hAnsi="Book Antiqua" w:cs="Book Antiqua"/>
          <w:sz w:val="24"/>
          <w:szCs w:val="24"/>
        </w:rPr>
        <w:t xml:space="preserve">rity grounds to challenge such decisions. It operates through both open and </w:t>
      </w:r>
      <w:r w:rsidRPr="000F69C0">
        <w:rPr>
          <w:rFonts w:ascii="Book Antiqua" w:eastAsia="Book Antiqua" w:hAnsi="Book Antiqua" w:cs="Book Antiqua"/>
          <w:sz w:val="24"/>
          <w:szCs w:val="24"/>
        </w:rPr>
        <w:t xml:space="preserve">closed proceedings, with special advocates appointed to represent the individual’s </w:t>
      </w:r>
      <w:r w:rsidRPr="000F69C0">
        <w:rPr>
          <w:rFonts w:ascii="Book Antiqua" w:eastAsia="Book Antiqua" w:hAnsi="Book Antiqua" w:cs="Book Antiqua"/>
          <w:sz w:val="24"/>
          <w:szCs w:val="24"/>
        </w:rPr>
        <w:t>interests when classified evidence is used.</w:t>
      </w:r>
      <w:r w:rsidRPr="000F69C0">
        <w:rPr>
          <w:rFonts w:ascii="Book Antiqua" w:eastAsia="Book Antiqua" w:hAnsi="Book Antiqua" w:cs="Book Antiqua"/>
          <w:sz w:val="24"/>
          <w:szCs w:val="24"/>
          <w:vertAlign w:val="superscript"/>
        </w:rPr>
        <w:footnoteReference w:id="14"/>
      </w:r>
      <w:r w:rsidRPr="000F69C0">
        <w:rPr>
          <w:rFonts w:ascii="Book Antiqua" w:eastAsia="Book Antiqua" w:hAnsi="Book Antiqua" w:cs="Book Antiqua"/>
          <w:sz w:val="24"/>
          <w:szCs w:val="24"/>
        </w:rPr>
        <w:t xml:space="preserve"> Apart from SIAC, the First-tier Tribunal </w:t>
      </w:r>
      <w:r w:rsidRPr="000F69C0">
        <w:rPr>
          <w:rFonts w:ascii="Book Antiqua" w:eastAsia="Book Antiqua" w:hAnsi="Book Antiqua" w:cs="Book Antiqua"/>
          <w:sz w:val="24"/>
          <w:szCs w:val="24"/>
        </w:rPr>
        <w:t>(Immigratio</w:t>
      </w:r>
      <w:r w:rsidRPr="000F69C0">
        <w:rPr>
          <w:rFonts w:ascii="Book Antiqua" w:eastAsia="Book Antiqua" w:hAnsi="Book Antiqua" w:cs="Book Antiqua"/>
          <w:sz w:val="24"/>
          <w:szCs w:val="24"/>
        </w:rPr>
        <w:t xml:space="preserve">n and Asylum Chamber) functions as the main appellate institution for many </w:t>
      </w:r>
      <w:r w:rsidRPr="000F69C0">
        <w:rPr>
          <w:rFonts w:ascii="Book Antiqua" w:eastAsia="Book Antiqua" w:hAnsi="Book Antiqua" w:cs="Book Antiqua"/>
          <w:sz w:val="24"/>
          <w:szCs w:val="24"/>
        </w:rPr>
        <w:t xml:space="preserve">immigration decisions and independently assesses whether such decisions comply with </w:t>
      </w:r>
      <w:r w:rsidRPr="000F69C0">
        <w:rPr>
          <w:rFonts w:ascii="Book Antiqua" w:eastAsia="Book Antiqua" w:hAnsi="Book Antiqua" w:cs="Book Antiqua"/>
          <w:sz w:val="24"/>
          <w:szCs w:val="24"/>
        </w:rPr>
        <w:t>domestic immigration rules and applicable human rights obligations.</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Another important element is </w:t>
      </w:r>
      <w:r w:rsidRPr="000F69C0">
        <w:rPr>
          <w:rFonts w:ascii="Book Antiqua" w:eastAsia="Book Antiqua" w:hAnsi="Book Antiqua" w:cs="Book Antiqua"/>
          <w:sz w:val="24"/>
          <w:szCs w:val="24"/>
        </w:rPr>
        <w:t>the direct operation of the Human Rights Act 1998, which incorporates the European Convention on Human Rights into domestic law and requires all public authorities, including the Home Office, to act consistently with Convention rights.</w:t>
      </w:r>
      <w:r w:rsidRPr="000F69C0">
        <w:rPr>
          <w:rFonts w:ascii="Book Antiqua" w:eastAsia="Book Antiqua" w:hAnsi="Book Antiqua" w:cs="Book Antiqua"/>
          <w:sz w:val="24"/>
          <w:szCs w:val="24"/>
          <w:vertAlign w:val="superscript"/>
        </w:rPr>
        <w:footnoteReference w:id="15"/>
      </w:r>
      <w:r w:rsidRPr="000F69C0">
        <w:rPr>
          <w:rFonts w:ascii="Book Antiqua" w:eastAsia="Book Antiqua" w:hAnsi="Book Antiqua" w:cs="Book Antiqua"/>
          <w:sz w:val="24"/>
          <w:szCs w:val="24"/>
        </w:rPr>
        <w:t xml:space="preserve"> Article 8 ECHR is p</w:t>
      </w:r>
      <w:r w:rsidRPr="000F69C0">
        <w:rPr>
          <w:rFonts w:ascii="Book Antiqua" w:eastAsia="Book Antiqua" w:hAnsi="Book Antiqua" w:cs="Book Antiqua"/>
          <w:sz w:val="24"/>
          <w:szCs w:val="24"/>
        </w:rPr>
        <w:t>articularly relevant because it protects the right to respect for private and family life. Any exclusion decision that interferes with Article 8 rights must be justified as proportionate to the legitimate aim pursued, creating a built-in legal restraint on</w:t>
      </w:r>
      <w:r w:rsidRPr="000F69C0">
        <w:rPr>
          <w:rFonts w:ascii="Book Antiqua" w:eastAsia="Book Antiqua" w:hAnsi="Book Antiqua" w:cs="Book Antiqua"/>
          <w:sz w:val="24"/>
          <w:szCs w:val="24"/>
        </w:rPr>
        <w:t xml:space="preserve"> executive discretion that has no direct counterpart in Indonesian immigration law.</w:t>
      </w:r>
      <w:r w:rsidRPr="000F69C0">
        <w:rPr>
          <w:rFonts w:ascii="Book Antiqua" w:eastAsia="Book Antiqua" w:hAnsi="Book Antiqua" w:cs="Book Antiqua"/>
          <w:sz w:val="24"/>
          <w:szCs w:val="24"/>
          <w:vertAlign w:val="superscript"/>
        </w:rPr>
        <w:footnoteReference w:id="16"/>
      </w:r>
    </w:p>
    <w:p w:rsidR="006F25A1"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Thus, the United Kingdom reflects a constrained-sovereignty model: the state </w:t>
      </w:r>
      <w:r w:rsidR="000F69C0">
        <w:rPr>
          <w:rFonts w:ascii="Book Antiqua" w:eastAsia="Book Antiqua" w:hAnsi="Book Antiqua" w:cs="Book Antiqua"/>
          <w:sz w:val="24"/>
          <w:szCs w:val="24"/>
        </w:rPr>
        <w:t>retains final authority over immigration control, but exercises that authority within a system of institutional accountability, integrated</w:t>
      </w:r>
      <w:r w:rsidRPr="000F69C0">
        <w:rPr>
          <w:rFonts w:ascii="Book Antiqua" w:eastAsia="Book Antiqua" w:hAnsi="Book Antiqua" w:cs="Book Antiqua"/>
          <w:sz w:val="24"/>
          <w:szCs w:val="24"/>
        </w:rPr>
        <w:t xml:space="preserve"> human rights obligations, and accessible judicial review.</w:t>
      </w:r>
    </w:p>
    <w:p w:rsidR="000F69C0" w:rsidRPr="000F69C0" w:rsidRDefault="000F69C0">
      <w:pPr>
        <w:spacing w:after="0" w:line="276" w:lineRule="auto"/>
        <w:ind w:firstLine="720"/>
        <w:rPr>
          <w:rFonts w:ascii="Book Antiqua" w:eastAsia="Book Antiqua" w:hAnsi="Book Antiqua" w:cs="Book Antiqua"/>
          <w:b/>
          <w:bCs/>
          <w:sz w:val="24"/>
          <w:szCs w:val="24"/>
        </w:rPr>
      </w:pPr>
    </w:p>
    <w:p w:rsidR="006F25A1" w:rsidRPr="000F69C0" w:rsidRDefault="00EC24BA">
      <w:pPr>
        <w:pStyle w:val="Heading2"/>
        <w:spacing w:after="0" w:line="276" w:lineRule="auto"/>
        <w:rPr>
          <w:rFonts w:ascii="Book Antiqua" w:eastAsia="Book Antiqua" w:hAnsi="Book Antiqua" w:cs="Book Antiqua"/>
          <w:sz w:val="24"/>
          <w:szCs w:val="24"/>
        </w:rPr>
      </w:pPr>
      <w:bookmarkStart w:id="5" w:name="_6can0jb7tn1r" w:colFirst="0" w:colLast="0"/>
      <w:bookmarkEnd w:id="5"/>
      <w:r w:rsidRPr="000F69C0">
        <w:rPr>
          <w:rFonts w:ascii="Book Antiqua" w:eastAsia="Book Antiqua" w:hAnsi="Book Antiqua" w:cs="Book Antiqua"/>
          <w:sz w:val="24"/>
          <w:szCs w:val="24"/>
        </w:rPr>
        <w:t>3. Similarities and Differences in deterrence between Indonesia and the United Kingdom</w:t>
      </w:r>
    </w:p>
    <w:p w:rsidR="006F25A1" w:rsidRDefault="00EC24BA">
      <w:pPr>
        <w:spacing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A comparison between Indonesian and UK deterrence systems </w:t>
      </w:r>
      <w:r w:rsidRPr="000F69C0">
        <w:rPr>
          <w:rFonts w:ascii="Book Antiqua" w:eastAsia="Book Antiqua" w:hAnsi="Book Antiqua" w:cs="Book Antiqua"/>
          <w:sz w:val="24"/>
          <w:szCs w:val="24"/>
        </w:rPr>
        <w:t>reveals several basic similarities as well as important differences. Both systems rest on the same general premise that the state may protect national security and the interests of its people through immigration measures. They also both place deterrence au</w:t>
      </w:r>
      <w:r w:rsidRPr="000F69C0">
        <w:rPr>
          <w:rFonts w:ascii="Book Antiqua" w:eastAsia="Book Antiqua" w:hAnsi="Book Antiqua" w:cs="Book Antiqua"/>
          <w:sz w:val="24"/>
          <w:szCs w:val="24"/>
        </w:rPr>
        <w:t>thority in the executive branch, although the forms of oversight differ significantly.</w:t>
      </w:r>
    </w:p>
    <w:p w:rsidR="000F69C0" w:rsidRDefault="000F69C0">
      <w:pPr>
        <w:spacing w:line="276" w:lineRule="auto"/>
        <w:ind w:firstLine="720"/>
        <w:rPr>
          <w:rFonts w:ascii="Book Antiqua" w:eastAsia="Book Antiqua" w:hAnsi="Book Antiqua" w:cs="Book Antiqua"/>
          <w:sz w:val="24"/>
          <w:szCs w:val="24"/>
        </w:rPr>
      </w:pPr>
    </w:p>
    <w:p w:rsidR="000F69C0" w:rsidRDefault="000F69C0">
      <w:pPr>
        <w:spacing w:line="276" w:lineRule="auto"/>
        <w:ind w:firstLine="720"/>
        <w:rPr>
          <w:rFonts w:ascii="Book Antiqua" w:eastAsia="Book Antiqua" w:hAnsi="Book Antiqua" w:cs="Book Antiqua"/>
          <w:sz w:val="24"/>
          <w:szCs w:val="24"/>
        </w:rPr>
      </w:pPr>
    </w:p>
    <w:p w:rsidR="000F69C0" w:rsidRDefault="000F69C0">
      <w:pPr>
        <w:spacing w:line="276" w:lineRule="auto"/>
        <w:ind w:firstLine="720"/>
        <w:rPr>
          <w:rFonts w:ascii="Book Antiqua" w:eastAsia="Book Antiqua" w:hAnsi="Book Antiqua" w:cs="Book Antiqua"/>
          <w:sz w:val="24"/>
          <w:szCs w:val="24"/>
        </w:rPr>
      </w:pPr>
    </w:p>
    <w:p w:rsidR="000F69C0" w:rsidRPr="000F69C0" w:rsidRDefault="000F69C0">
      <w:pPr>
        <w:spacing w:line="276" w:lineRule="auto"/>
        <w:ind w:firstLine="720"/>
        <w:rPr>
          <w:rFonts w:ascii="Book Antiqua" w:eastAsia="Book Antiqua" w:hAnsi="Book Antiqua" w:cs="Book Antiqua"/>
          <w:sz w:val="24"/>
          <w:szCs w:val="24"/>
        </w:rPr>
      </w:pPr>
    </w:p>
    <w:p w:rsidR="006F25A1" w:rsidRPr="000F69C0" w:rsidRDefault="00F343C6">
      <w:pPr>
        <w:spacing w:line="276" w:lineRule="auto"/>
        <w:rPr>
          <w:rFonts w:ascii="Book Antiqua" w:eastAsia="Book Antiqua" w:hAnsi="Book Antiqua" w:cs="Book Antiqua"/>
          <w:b/>
          <w:bCs/>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69504" behindDoc="0" locked="0" layoutInCell="1" allowOverlap="1" wp14:anchorId="4D76269C" wp14:editId="48B41998">
                <wp:simplePos x="0" y="0"/>
                <wp:positionH relativeFrom="column">
                  <wp:posOffset>5362222</wp:posOffset>
                </wp:positionH>
                <wp:positionV relativeFrom="paragraph">
                  <wp:posOffset>-587657</wp:posOffset>
                </wp:positionV>
                <wp:extent cx="417689" cy="383822"/>
                <wp:effectExtent l="0" t="0" r="1905" b="0"/>
                <wp:wrapNone/>
                <wp:docPr id="10" name="Text Box 10"/>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0" o:spid="_x0000_s1031" type="#_x0000_t202" style="position:absolute;left:0;text-align:left;margin-left:422.2pt;margin-top:-46.25pt;width:32.9pt;height:3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fSSIRAIAAIEEAAAOAAAAZHJzL2Uyb0RvYy54bWysVE1vGjEQvVfqf7B8b5avEIJYIkqUqhJK&#13;&#10;IoUqZ+P1wkpej2sbdumv77MX8tWeql7MeObt88ybGWY3ba3ZQTlfkcl5/6LHmTKSispsc/5jffdl&#13;&#10;wpkPwhRCk1E5PyrPb+afP80aO1UD2pEulGMgMX7a2JzvQrDTLPNyp2rhL8gqg2BJrhYBV7fNCica&#13;&#10;sNc6G/R646whV1hHUnkP720X5PPEX5ZKhoey9CownXPkFtLp0rmJZzafienWCbur5CkN8Q9Z1KIy&#13;&#10;ePSF6lYEwfau+oOqrqQjT2W4kFRnVJaVVKkGVNPvfajmaSesSrVAHG9fZPL/j1beHx4dqwr0DvIY&#13;&#10;UaNHa9UG9pVaBhf0aayfAvZkAQwt/MCe/R7OWHZbujr+oiCGOKiOL+pGNgnnqH81nlxzJhEaToaT&#13;&#10;wSCyZK8fW+fDN0U1i0bOHZqXNBWHlQ8d9AyJb3nSVXFXaZ0ucWDUUjt2EGi1DilFkL9DacOanI+H&#13;&#10;l71EbCh+3jFrg1xiqV1J0Qrtpk3SXJ7L3VBxhAqOujnyVt5VyHUlfHgUDoODwrEM4QFHqQlv0cni&#13;&#10;bEfu19/8EY9+IspZg0HMuf+5F05xpr8bdPq6PxrFyU2X0eXVABf3NrJ5GzH7ekkQoI+1szKZER/0&#13;&#10;2Swd1c/YmUV8FSFhJN7OeTiby9CtB3ZOqsUigTCrVoSVebIyUkfBYyfW7bNw9tSugD7f03lkxfRD&#13;&#10;1zps/NLQYh+orFJLo86dqif5MedpKE47GRfp7T2hXv855r8BAAD//wMAUEsDBBQABgAIAAAAIQDz&#13;&#10;kqfm5gAAABABAAAPAAAAZHJzL2Rvd25yZXYueG1sTE/JTsMwEL0j9R+sQeKCWmcrtGmcCrFV6o2G&#13;&#10;Rdzc2E0i4nEUu0n4e4YTXEaaeW/ekm0n07JB966xKCBcBMA0llY1WAl4LZ7mK2DOS1SytagFfGsH&#13;&#10;23x2kclU2RFf9HDwFSMRdKkUUHvfpZy7stZGuoXtNBJ2sr2Rnta+4qqXI4mblkdBcMONbJAcatnp&#13;&#10;+1qXX4ezEfB5XX3s3fT8NsbLuHvcDcXtuyqEuLqcHjY07jbAvJ783wf8dqD8kFOwoz2jcqwVsEqS&#13;&#10;hKgC5utoCYwY6zCIgB3pEkch8Dzj/4vkPwAAAP//AwBQSwECLQAUAAYACAAAACEAtoM4kv4AAADh&#13;&#10;AQAAEwAAAAAAAAAAAAAAAAAAAAAAW0NvbnRlbnRfVHlwZXNdLnhtbFBLAQItABQABgAIAAAAIQA4&#13;&#10;/SH/1gAAAJQBAAALAAAAAAAAAAAAAAAAAC8BAABfcmVscy8ucmVsc1BLAQItABQABgAIAAAAIQB0&#13;&#10;fSSIRAIAAIEEAAAOAAAAAAAAAAAAAAAAAC4CAABkcnMvZTJvRG9jLnhtbFBLAQItABQABgAIAAAA&#13;&#10;IQDzkqfm5gAAABABAAAPAAAAAAAAAAAAAAAAAJ4EAABkcnMvZG93bnJldi54bWxQSwUGAAAAAAQA&#13;&#10;BADzAAAAsQU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34</w:t>
                      </w:r>
                    </w:p>
                  </w:txbxContent>
                </v:textbox>
              </v:shape>
            </w:pict>
          </mc:Fallback>
        </mc:AlternateContent>
      </w:r>
      <w:r w:rsidR="00EC24BA" w:rsidRPr="000F69C0">
        <w:rPr>
          <w:rFonts w:ascii="Book Antiqua" w:eastAsia="Book Antiqua" w:hAnsi="Book Antiqua" w:cs="Book Antiqua"/>
          <w:b/>
          <w:bCs/>
          <w:sz w:val="24"/>
          <w:szCs w:val="24"/>
        </w:rPr>
        <w:t>TABLE 1. Comparative Overview of Indonesian and UK Deterrence Systems</w:t>
      </w:r>
    </w:p>
    <w:tbl>
      <w:tblPr>
        <w:tblStyle w:val="a"/>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0"/>
        <w:gridCol w:w="4050"/>
        <w:gridCol w:w="3030"/>
      </w:tblGrid>
      <w:tr w:rsidR="006F25A1" w:rsidRPr="000F69C0">
        <w:trPr>
          <w:trHeight w:val="570"/>
        </w:trPr>
        <w:tc>
          <w:tcPr>
            <w:tcW w:w="1830" w:type="dxa"/>
            <w:tcBorders>
              <w:top w:val="single" w:sz="8" w:space="0" w:color="000000"/>
              <w:bottom w:val="single" w:sz="8" w:space="0" w:color="000000"/>
            </w:tcBorders>
            <w:shd w:val="clear" w:color="auto" w:fill="D9D9D9"/>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b/>
                <w:bCs/>
                <w:sz w:val="24"/>
                <w:szCs w:val="24"/>
              </w:rPr>
            </w:pPr>
            <w:r w:rsidRPr="000F69C0">
              <w:rPr>
                <w:rFonts w:ascii="Book Antiqua" w:eastAsia="Book Antiqua" w:hAnsi="Book Antiqua" w:cs="Book Antiqua"/>
                <w:b/>
                <w:bCs/>
                <w:sz w:val="24"/>
                <w:szCs w:val="24"/>
              </w:rPr>
              <w:t>Aspects</w:t>
            </w:r>
          </w:p>
        </w:tc>
        <w:tc>
          <w:tcPr>
            <w:tcW w:w="4050" w:type="dxa"/>
            <w:tcBorders>
              <w:top w:val="single" w:sz="8" w:space="0" w:color="000000"/>
              <w:bottom w:val="single" w:sz="8" w:space="0" w:color="000000"/>
            </w:tcBorders>
            <w:shd w:val="clear" w:color="auto" w:fill="D9D9D9"/>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b/>
                <w:bCs/>
                <w:sz w:val="24"/>
                <w:szCs w:val="24"/>
              </w:rPr>
            </w:pPr>
            <w:r w:rsidRPr="000F69C0">
              <w:rPr>
                <w:rFonts w:ascii="Book Antiqua" w:eastAsia="Book Antiqua" w:hAnsi="Book Antiqua" w:cs="Book Antiqua"/>
                <w:b/>
                <w:bCs/>
                <w:sz w:val="24"/>
                <w:szCs w:val="24"/>
              </w:rPr>
              <w:t>Indonesia</w:t>
            </w:r>
          </w:p>
        </w:tc>
        <w:tc>
          <w:tcPr>
            <w:tcW w:w="3030" w:type="dxa"/>
            <w:tcBorders>
              <w:top w:val="single" w:sz="8" w:space="0" w:color="000000"/>
              <w:bottom w:val="single" w:sz="8" w:space="0" w:color="000000"/>
            </w:tcBorders>
            <w:shd w:val="clear" w:color="auto" w:fill="D9D9D9"/>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b/>
                <w:bCs/>
                <w:sz w:val="24"/>
                <w:szCs w:val="24"/>
              </w:rPr>
            </w:pPr>
            <w:r w:rsidRPr="000F69C0">
              <w:rPr>
                <w:rFonts w:ascii="Book Antiqua" w:eastAsia="Book Antiqua" w:hAnsi="Book Antiqua" w:cs="Book Antiqua"/>
                <w:b/>
                <w:bCs/>
                <w:sz w:val="24"/>
                <w:szCs w:val="24"/>
              </w:rPr>
              <w:t>English</w:t>
            </w:r>
          </w:p>
        </w:tc>
      </w:tr>
      <w:tr w:rsidR="006F25A1" w:rsidRPr="000F69C0">
        <w:trPr>
          <w:trHeight w:val="105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Legal Basis</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Law No. 6/2011, Government Regulation No. 31/2013, and Perme</w:t>
            </w:r>
            <w:r w:rsidRPr="000F69C0">
              <w:rPr>
                <w:rFonts w:ascii="Book Antiqua" w:eastAsia="Book Antiqua" w:hAnsi="Book Antiqua" w:cs="Book Antiqua"/>
                <w:sz w:val="24"/>
                <w:szCs w:val="24"/>
              </w:rPr>
              <w:t>nkumham No. 34/2021</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Immigration Act 1971, UK Borders Act 2007, and BCIA 2009</w:t>
            </w:r>
          </w:p>
        </w:tc>
      </w:tr>
      <w:tr w:rsidR="006F25A1" w:rsidRPr="000F69C0">
        <w:trPr>
          <w:trHeight w:val="81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Authority</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Minister of Immigration and Corrections based on recommendations from immigration officials</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Secretary of State (Home Secretary)</w:t>
            </w:r>
          </w:p>
        </w:tc>
      </w:tr>
      <w:tr w:rsidR="006F25A1" w:rsidRPr="000F69C0">
        <w:trPr>
          <w:trHeight w:val="81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Term</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1-2 years, extendable or permanent</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Varies from 1 year to permanent</w:t>
            </w:r>
          </w:p>
        </w:tc>
      </w:tr>
      <w:tr w:rsidR="006F25A1" w:rsidRPr="000F69C0">
        <w:trPr>
          <w:trHeight w:val="81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Judicial Supervision</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No independent immigration tribunal has been established</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Special Immigration Appeals Commission (SIAC)</w:t>
            </w:r>
          </w:p>
        </w:tc>
      </w:tr>
      <w:tr w:rsidR="006F25A1" w:rsidRPr="000F69C0">
        <w:trPr>
          <w:trHeight w:val="105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Right to Object</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Not yet expressly regulated in the Immigration Law</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Regulated by the SIAC Act 1997</w:t>
            </w:r>
            <w:r w:rsidRPr="000F69C0">
              <w:rPr>
                <w:rFonts w:ascii="Book Antiqua" w:eastAsia="Book Antiqua" w:hAnsi="Book Antiqua" w:cs="Book Antiqua"/>
                <w:sz w:val="24"/>
                <w:szCs w:val="24"/>
              </w:rPr>
              <w:t xml:space="preserve"> with an available appeal right</w:t>
            </w:r>
          </w:p>
        </w:tc>
      </w:tr>
      <w:tr w:rsidR="006F25A1" w:rsidRPr="000F69C0">
        <w:trPr>
          <w:trHeight w:val="81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Human Rights Integration</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The proportionality principle has not been expressly included</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Subject to the Human Rights Act 1998 and ECHR Article 8</w:t>
            </w:r>
          </w:p>
        </w:tc>
      </w:tr>
      <w:tr w:rsidR="006F25A1" w:rsidRPr="000F69C0">
        <w:trPr>
          <w:trHeight w:val="930"/>
        </w:trPr>
        <w:tc>
          <w:tcPr>
            <w:tcW w:w="18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Transparency</w:t>
            </w:r>
          </w:p>
        </w:tc>
        <w:tc>
          <w:tcPr>
            <w:tcW w:w="405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Internal administrative decisions with limited publication</w:t>
            </w:r>
          </w:p>
        </w:tc>
        <w:tc>
          <w:tcPr>
            <w:tcW w:w="3030" w:type="dxa"/>
            <w:tcBorders>
              <w:top w:val="single" w:sz="8" w:space="0" w:color="000000"/>
              <w:bottom w:val="single" w:sz="8" w:space="0" w:color="000000"/>
            </w:tcBorders>
            <w:tcMar>
              <w:top w:w="80" w:type="dxa"/>
              <w:left w:w="120" w:type="dxa"/>
              <w:bottom w:w="80" w:type="dxa"/>
              <w:right w:w="120" w:type="dxa"/>
            </w:tcMar>
          </w:tcPr>
          <w:p w:rsidR="006F25A1" w:rsidRP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Some </w:t>
            </w:r>
            <w:r w:rsidRPr="000F69C0">
              <w:rPr>
                <w:rFonts w:ascii="Book Antiqua" w:eastAsia="Book Antiqua" w:hAnsi="Book Antiqua" w:cs="Book Antiqua"/>
                <w:sz w:val="24"/>
                <w:szCs w:val="24"/>
              </w:rPr>
              <w:t>decisions are published; national-security matters remain confidential</w:t>
            </w:r>
          </w:p>
        </w:tc>
      </w:tr>
    </w:tbl>
    <w:p w:rsidR="006F25A1" w:rsidRPr="000F69C0" w:rsidRDefault="00EC24BA">
      <w:pPr>
        <w:spacing w:line="276" w:lineRule="auto"/>
        <w:rPr>
          <w:rFonts w:ascii="Book Antiqua" w:eastAsia="Book Antiqua" w:hAnsi="Book Antiqua" w:cs="Book Antiqua"/>
          <w:i/>
          <w:iCs/>
          <w:sz w:val="24"/>
          <w:szCs w:val="24"/>
        </w:rPr>
      </w:pPr>
      <w:r w:rsidRPr="000F69C0">
        <w:rPr>
          <w:rFonts w:ascii="Book Antiqua" w:eastAsia="Book Antiqua" w:hAnsi="Book Antiqua" w:cs="Book Antiqua"/>
          <w:i/>
          <w:iCs/>
          <w:sz w:val="24"/>
          <w:szCs w:val="24"/>
        </w:rPr>
        <w:t>Source: Processed by the Author (Law No. 6/2011, Government Regulation No. 31/2013, Permenkumham No. 34/2021, Immigration Act 1971, UK Borders Act 2007, and BCIA 2009), 2026.</w:t>
      </w:r>
    </w:p>
    <w:p w:rsidR="006F25A1" w:rsidRPr="000F69C0" w:rsidRDefault="00EC24BA">
      <w:pPr>
        <w:spacing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The table</w:t>
      </w:r>
      <w:r w:rsidRPr="000F69C0">
        <w:rPr>
          <w:rFonts w:ascii="Book Antiqua" w:eastAsia="Book Antiqua" w:hAnsi="Book Antiqua" w:cs="Book Antiqua"/>
          <w:sz w:val="24"/>
          <w:szCs w:val="24"/>
        </w:rPr>
        <w:t xml:space="preserve"> shows that the most basic distinction between the two systems lies in </w:t>
      </w:r>
      <w:r w:rsidRPr="000F69C0">
        <w:rPr>
          <w:rFonts w:ascii="Book Antiqua" w:eastAsia="Book Antiqua" w:hAnsi="Book Antiqua" w:cs="Book Antiqua"/>
          <w:sz w:val="24"/>
          <w:szCs w:val="24"/>
        </w:rPr>
        <w:t xml:space="preserve">judicial control and the protection of the right to object. In Indonesia, refusal authority is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71552" behindDoc="0" locked="0" layoutInCell="1" allowOverlap="1" wp14:anchorId="4D76269C" wp14:editId="48B41998">
                <wp:simplePos x="0" y="0"/>
                <wp:positionH relativeFrom="column">
                  <wp:posOffset>5565422</wp:posOffset>
                </wp:positionH>
                <wp:positionV relativeFrom="paragraph">
                  <wp:posOffset>-454378</wp:posOffset>
                </wp:positionV>
                <wp:extent cx="417689" cy="383822"/>
                <wp:effectExtent l="0" t="0" r="1905" b="0"/>
                <wp:wrapNone/>
                <wp:docPr id="11" name="Text Box 11"/>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1" o:spid="_x0000_s1032" type="#_x0000_t202" style="position:absolute;left:0;text-align:left;margin-left:438.2pt;margin-top:-35.8pt;width:32.9pt;height:3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gEncRAIAAIEEAAAOAAAAZHJzL2Uyb0RvYy54bWysVE1vGjEQvVfqf7B8b5avEIKyRDQRVSWU&#13;&#10;RCJVzsbrhZW8Htc27NJf32cvkI/2VPVixjOzzzPvzXBz29aa7ZXzFZmc9y96nCkjqajMJuc/nhdf&#13;&#10;Jpz5IEwhNBmV84Py/Hb2+dNNY6dqQFvShXIMIMZPG5vzbQh2mmVeblUt/AVZZRAsydUi4Oo2WeFE&#13;&#10;A/RaZ4Neb5w15ArrSCrv4b3vgnyW8MtSyfBYll4FpnOO2kI6XTrX8cxmN2K6ccJuK3ksQ/xDFbWo&#13;&#10;DB49Q92LINjOVX9A1ZV05KkMF5LqjMqykir1gG76vQ/drLbCqtQLyPH2TJP/f7DyYf/kWFVAuz5n&#13;&#10;RtTQ6Fm1gX2llsEFfhrrp0hbWSSGFn7knvwezth2W7o6/qIhhjiYPpzZjWgSzlH/ajy55kwiNJwM&#13;&#10;J4NBRMleP7bOh2+KahaNnDuIlzgV+6UPXeopJb7lSVfFotI6XeLAqDvt2F5Aah1SiQB/l6UNa3I+&#13;&#10;Hl72ErCh+HmHrA1qia12LUUrtOs2UTM+tbum4gAWHHVz5K1cVKh1KXx4Eg6Dg8axDOERR6kJb9HR&#13;&#10;4mxL7tff/DEfeiLKWYNBzLn/uRNOcaa/Gyh93R+N4uSmy+jyaoCLextZv42YXX1HIABiorpkxvyg&#13;&#10;T2bpqH7BzszjqwgJI/F2zsPJvAvdemDnpJrPUxJm1YqwNCsrI3QkPCrx3L4IZ49yBej8QKeRFdMP&#13;&#10;qnW58UtD812gskqSRp47Vo/0Y87TUBx3Mi7S23vKev3nmP0GAAD//wMAUEsDBBQABgAIAAAAIQAY&#13;&#10;8UXj5gAAABABAAAPAAAAZHJzL2Rvd25yZXYueG1sTE/JboMwEL1Xyj9YE6mXKjGQFFKCiaquUm8N&#13;&#10;XdSbgyeAgm2EHaB/3+mpvYw08968JdtNumUD9q6xRkC4DIChKa1qTCXgrXhcbIA5L42SrTUo4Bsd&#13;&#10;7PLZRSZTZUfzisPeV4xEjEulgNr7LuXclTVq6Za2Q0PY0fZaelr7iqtejiSuWx4FQcy1bAw51LLD&#13;&#10;uxrL0/6sBXxdVZ8vbnp6H1fXq+7heSiSD1UIcTmf7rc0brfAPE7+7wN+O1B+yCnYwZ6NcqwVsEni&#13;&#10;NVEFLJIwBkaMm3UUATvQJQwj4HnG/xfJfwAAAP//AwBQSwECLQAUAAYACAAAACEAtoM4kv4AAADh&#13;&#10;AQAAEwAAAAAAAAAAAAAAAAAAAAAAW0NvbnRlbnRfVHlwZXNdLnhtbFBLAQItABQABgAIAAAAIQA4&#13;&#10;/SH/1gAAAJQBAAALAAAAAAAAAAAAAAAAAC8BAABfcmVscy8ucmVsc1BLAQItABQABgAIAAAAIQAJ&#13;&#10;gEncRAIAAIEEAAAOAAAAAAAAAAAAAAAAAC4CAABkcnMvZTJvRG9jLnhtbFBLAQItABQABgAIAAAA&#13;&#10;IQAY8UXj5gAAABABAAAPAAAAAAAAAAAAAAAAAJ4EAABkcnMvZG93bnJldi54bWxQSwUGAAAAAAQA&#13;&#10;BADzAAAAsQU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35</w:t>
                      </w:r>
                    </w:p>
                  </w:txbxContent>
                </v:textbox>
              </v:shape>
            </w:pict>
          </mc:Fallback>
        </mc:AlternateContent>
      </w:r>
      <w:r w:rsidRPr="000F69C0">
        <w:rPr>
          <w:rFonts w:ascii="Book Antiqua" w:eastAsia="Book Antiqua" w:hAnsi="Book Antiqua" w:cs="Book Antiqua"/>
          <w:sz w:val="24"/>
          <w:szCs w:val="24"/>
        </w:rPr>
        <w:t>essentially concentrated in the executive because there is no speciali</w:t>
      </w:r>
      <w:r w:rsidR="000F69C0">
        <w:rPr>
          <w:rFonts w:ascii="Book Antiqua" w:eastAsia="Book Antiqua" w:hAnsi="Book Antiqua" w:cs="Book Antiqua"/>
          <w:sz w:val="24"/>
          <w:szCs w:val="24"/>
        </w:rPr>
        <w:t>s</w:t>
      </w:r>
      <w:r w:rsidRPr="000F69C0">
        <w:rPr>
          <w:rFonts w:ascii="Book Antiqua" w:eastAsia="Book Antiqua" w:hAnsi="Book Antiqua" w:cs="Book Antiqua"/>
          <w:sz w:val="24"/>
          <w:szCs w:val="24"/>
        </w:rPr>
        <w:t>ed</w:t>
      </w:r>
      <w:r w:rsidRPr="000F69C0">
        <w:rPr>
          <w:rFonts w:ascii="Book Antiqua" w:eastAsia="Book Antiqua" w:hAnsi="Book Antiqua" w:cs="Book Antiqua"/>
          <w:sz w:val="24"/>
          <w:szCs w:val="24"/>
        </w:rPr>
        <w:t xml:space="preserve"> judicial control in the immigration field. By contrast, the UK has built a more complete oversight structure through SIAC and a relatively open judicial</w:t>
      </w:r>
      <w:r w:rsidR="000F69C0">
        <w:rPr>
          <w:rFonts w:ascii="Book Antiqua" w:eastAsia="Book Antiqua" w:hAnsi="Book Antiqua" w:cs="Book Antiqua"/>
          <w:sz w:val="24"/>
          <w:szCs w:val="24"/>
        </w:rPr>
        <w:t xml:space="preserve"> </w:t>
      </w:r>
      <w:r w:rsidRPr="000F69C0">
        <w:rPr>
          <w:rFonts w:ascii="Book Antiqua" w:eastAsia="Book Antiqua" w:hAnsi="Book Antiqua" w:cs="Book Antiqua"/>
          <w:sz w:val="24"/>
          <w:szCs w:val="24"/>
        </w:rPr>
        <w:t>review route. In integrating human rights values, the UK system adopts a more systematic approach. The</w:t>
      </w:r>
      <w:r w:rsidRPr="000F69C0">
        <w:rPr>
          <w:rFonts w:ascii="Book Antiqua" w:eastAsia="Book Antiqua" w:hAnsi="Book Antiqua" w:cs="Book Antiqua"/>
          <w:sz w:val="24"/>
          <w:szCs w:val="24"/>
        </w:rPr>
        <w:t xml:space="preserve"> Human Rights Act 1998 clearly obliges every public authority, including the Home Office, to act in line with the ECHR.</w:t>
      </w:r>
      <w:r w:rsidRPr="000F69C0">
        <w:rPr>
          <w:rFonts w:ascii="Book Antiqua" w:eastAsia="Book Antiqua" w:hAnsi="Book Antiqua" w:cs="Book Antiqua"/>
          <w:sz w:val="24"/>
          <w:szCs w:val="24"/>
          <w:vertAlign w:val="superscript"/>
        </w:rPr>
        <w:footnoteReference w:id="17"/>
      </w:r>
      <w:r w:rsidRPr="000F69C0">
        <w:rPr>
          <w:rFonts w:ascii="Book Antiqua" w:eastAsia="Book Antiqua" w:hAnsi="Book Antiqua" w:cs="Book Antiqua"/>
          <w:sz w:val="24"/>
          <w:szCs w:val="24"/>
        </w:rPr>
        <w:t xml:space="preserve"> This obligation places continuous normative pressure on every dete</w:t>
      </w:r>
      <w:r w:rsidR="000F69C0">
        <w:rPr>
          <w:rFonts w:ascii="Book Antiqua" w:eastAsia="Book Antiqua" w:hAnsi="Book Antiqua" w:cs="Book Antiqua"/>
          <w:sz w:val="24"/>
          <w:szCs w:val="24"/>
        </w:rPr>
        <w:t>ntion</w:t>
      </w:r>
      <w:r w:rsidRPr="000F69C0">
        <w:rPr>
          <w:rFonts w:ascii="Book Antiqua" w:eastAsia="Book Antiqua" w:hAnsi="Book Antiqua" w:cs="Book Antiqua"/>
          <w:sz w:val="24"/>
          <w:szCs w:val="24"/>
        </w:rPr>
        <w:t xml:space="preserve"> decision to consider the principles of balance and necessity i</w:t>
      </w:r>
      <w:r w:rsidRPr="000F69C0">
        <w:rPr>
          <w:rFonts w:ascii="Book Antiqua" w:eastAsia="Book Antiqua" w:hAnsi="Book Antiqua" w:cs="Book Antiqua"/>
          <w:sz w:val="24"/>
          <w:szCs w:val="24"/>
        </w:rPr>
        <w:t>n a democratic society.</w:t>
      </w:r>
    </w:p>
    <w:p w:rsidR="006F25A1" w:rsidRPr="000F69C0" w:rsidRDefault="00EC24BA">
      <w:pPr>
        <w:spacing w:after="0"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As a state party to the International Covenant on Civil and Political Rights (ICCPR) through Law Number 12 of 2005, Indonesia is likewise bound by comparable international norms for </w:t>
      </w:r>
      <w:r w:rsidR="000F69C0">
        <w:rPr>
          <w:rFonts w:ascii="Book Antiqua" w:eastAsia="Book Antiqua" w:hAnsi="Book Antiqua" w:cs="Book Antiqua"/>
          <w:sz w:val="24"/>
          <w:szCs w:val="24"/>
        </w:rPr>
        <w:t>protecting</w:t>
      </w:r>
      <w:r w:rsidRPr="000F69C0">
        <w:rPr>
          <w:rFonts w:ascii="Book Antiqua" w:eastAsia="Book Antiqua" w:hAnsi="Book Antiqua" w:cs="Book Antiqua"/>
          <w:sz w:val="24"/>
          <w:szCs w:val="24"/>
        </w:rPr>
        <w:t xml:space="preserve"> human rights.</w:t>
      </w:r>
      <w:r w:rsidRPr="000F69C0">
        <w:rPr>
          <w:rFonts w:ascii="Book Antiqua" w:eastAsia="Book Antiqua" w:hAnsi="Book Antiqua" w:cs="Book Antiqua"/>
          <w:sz w:val="24"/>
          <w:szCs w:val="24"/>
          <w:vertAlign w:val="superscript"/>
        </w:rPr>
        <w:footnoteReference w:id="18"/>
      </w:r>
      <w:r w:rsidRPr="000F69C0">
        <w:rPr>
          <w:rFonts w:ascii="Book Antiqua" w:eastAsia="Book Antiqua" w:hAnsi="Book Antiqua" w:cs="Book Antiqua"/>
          <w:sz w:val="24"/>
          <w:szCs w:val="24"/>
        </w:rPr>
        <w:t xml:space="preserve"> This legal commit</w:t>
      </w:r>
      <w:r w:rsidRPr="000F69C0">
        <w:rPr>
          <w:rFonts w:ascii="Book Antiqua" w:eastAsia="Book Antiqua" w:hAnsi="Book Antiqua" w:cs="Book Antiqua"/>
          <w:sz w:val="24"/>
          <w:szCs w:val="24"/>
        </w:rPr>
        <w:t xml:space="preserve">ment creates a responsibility to adjust prevention policies to those norms, an obligation that has not yet been fully reflected in the current legal framework. </w:t>
      </w:r>
    </w:p>
    <w:p w:rsidR="006F25A1" w:rsidRPr="000F69C0" w:rsidRDefault="00EC24BA">
      <w:pPr>
        <w:pStyle w:val="Heading2"/>
        <w:numPr>
          <w:ilvl w:val="0"/>
          <w:numId w:val="2"/>
        </w:numPr>
        <w:spacing w:after="0" w:line="276" w:lineRule="auto"/>
        <w:ind w:left="284"/>
        <w:rPr>
          <w:rFonts w:ascii="Book Antiqua" w:eastAsia="Book Antiqua" w:hAnsi="Book Antiqua" w:cs="Book Antiqua"/>
          <w:sz w:val="24"/>
          <w:szCs w:val="24"/>
        </w:rPr>
      </w:pPr>
      <w:bookmarkStart w:id="6" w:name="_8xo93feilg0e" w:colFirst="0" w:colLast="0"/>
      <w:bookmarkEnd w:id="6"/>
      <w:r w:rsidRPr="000F69C0">
        <w:rPr>
          <w:rFonts w:ascii="Book Antiqua" w:eastAsia="Book Antiqua" w:hAnsi="Book Antiqua" w:cs="Book Antiqua"/>
          <w:sz w:val="24"/>
          <w:szCs w:val="24"/>
        </w:rPr>
        <w:t xml:space="preserve">Challenges and problems in the implementation and recommendations of immigration law reform in </w:t>
      </w:r>
      <w:r w:rsidRPr="000F69C0">
        <w:rPr>
          <w:rFonts w:ascii="Book Antiqua" w:eastAsia="Book Antiqua" w:hAnsi="Book Antiqua" w:cs="Book Antiqua"/>
          <w:sz w:val="24"/>
          <w:szCs w:val="24"/>
        </w:rPr>
        <w:t>Indonesia</w:t>
      </w:r>
    </w:p>
    <w:p w:rsidR="000F69C0" w:rsidRDefault="00EC24BA">
      <w:pPr>
        <w:spacing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ab/>
      </w:r>
      <w:r w:rsidR="000F69C0">
        <w:rPr>
          <w:rFonts w:ascii="Book Antiqua" w:eastAsia="Book Antiqua" w:hAnsi="Book Antiqua" w:cs="Book Antiqua"/>
          <w:sz w:val="24"/>
          <w:szCs w:val="24"/>
        </w:rPr>
        <w:t>Implementing</w:t>
      </w:r>
      <w:r w:rsidR="000F69C0" w:rsidRPr="000F69C0">
        <w:rPr>
          <w:rFonts w:ascii="Book Antiqua" w:eastAsia="Book Antiqua" w:hAnsi="Book Antiqua" w:cs="Book Antiqua"/>
          <w:sz w:val="24"/>
          <w:szCs w:val="24"/>
        </w:rPr>
        <w:t xml:space="preserve"> prevention policies in both jurisdictions </w:t>
      </w:r>
      <w:r w:rsidR="000F69C0">
        <w:rPr>
          <w:rFonts w:ascii="Book Antiqua" w:eastAsia="Book Antiqua" w:hAnsi="Book Antiqua" w:cs="Book Antiqua"/>
          <w:sz w:val="24"/>
          <w:szCs w:val="24"/>
        </w:rPr>
        <w:t>face</w:t>
      </w:r>
      <w:r w:rsidR="000F69C0" w:rsidRPr="000F69C0">
        <w:rPr>
          <w:rFonts w:ascii="Book Antiqua" w:eastAsia="Book Antiqua" w:hAnsi="Book Antiqua" w:cs="Book Antiqua"/>
          <w:sz w:val="24"/>
          <w:szCs w:val="24"/>
        </w:rPr>
        <w:t xml:space="preserve">s a range of practical obstacles. In Indonesia, one main issue is weak inter-institutional coordination in submitting prevention proposals. Various government bodies, including the Police, BIN, and the Ministry of Foreign Affairs, may propose prevention, but </w:t>
      </w:r>
      <w:r w:rsidR="000F69C0">
        <w:rPr>
          <w:rFonts w:ascii="Book Antiqua" w:eastAsia="Book Antiqua" w:hAnsi="Book Antiqua" w:cs="Book Antiqua"/>
          <w:sz w:val="24"/>
          <w:szCs w:val="24"/>
        </w:rPr>
        <w:t>institutions</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have</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not</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adequately</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arranged</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mechanism</w:t>
      </w:r>
      <w:r w:rsidR="000F69C0" w:rsidRPr="000F69C0">
        <w:rPr>
          <w:rFonts w:ascii="Book Antiqua" w:eastAsia="Book Antiqua" w:hAnsi="Book Antiqua" w:cs="Book Antiqua"/>
          <w:sz w:val="24"/>
          <w:szCs w:val="24"/>
        </w:rPr>
        <w:t xml:space="preserve">s </w:t>
      </w:r>
      <w:r w:rsidR="000F69C0">
        <w:rPr>
          <w:rFonts w:ascii="Book Antiqua" w:eastAsia="Book Antiqua" w:hAnsi="Book Antiqua" w:cs="Book Antiqua"/>
          <w:sz w:val="24"/>
          <w:szCs w:val="24"/>
        </w:rPr>
        <w:t>for</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coordinatio</w:t>
      </w:r>
      <w:r w:rsidRPr="000F69C0">
        <w:rPr>
          <w:rFonts w:ascii="Book Antiqua" w:eastAsia="Book Antiqua" w:hAnsi="Book Antiqua" w:cs="Book Antiqua"/>
          <w:sz w:val="24"/>
          <w:szCs w:val="24"/>
        </w:rPr>
        <w:t>n a</w:t>
      </w:r>
      <w:r w:rsidR="000F69C0">
        <w:rPr>
          <w:rFonts w:ascii="Book Antiqua" w:eastAsia="Book Antiqua" w:hAnsi="Book Antiqua" w:cs="Book Antiqua"/>
          <w:sz w:val="24"/>
          <w:szCs w:val="24"/>
        </w:rPr>
        <w:t>n</w:t>
      </w:r>
      <w:r w:rsidRPr="000F69C0">
        <w:rPr>
          <w:rFonts w:ascii="Book Antiqua" w:eastAsia="Book Antiqua" w:hAnsi="Book Antiqua" w:cs="Book Antiqua"/>
          <w:sz w:val="24"/>
          <w:szCs w:val="24"/>
        </w:rPr>
        <w:t xml:space="preserve">d </w:t>
      </w:r>
      <w:r w:rsidR="000F69C0">
        <w:rPr>
          <w:rFonts w:ascii="Book Antiqua" w:eastAsia="Book Antiqua" w:hAnsi="Book Antiqua" w:cs="Book Antiqua"/>
          <w:sz w:val="24"/>
          <w:szCs w:val="24"/>
        </w:rPr>
        <w:t>verification</w:t>
      </w:r>
      <w:r w:rsidRPr="000F69C0">
        <w:rPr>
          <w:rFonts w:ascii="Book Antiqua" w:eastAsia="Book Antiqua" w:hAnsi="Book Antiqua" w:cs="Book Antiqua"/>
          <w:sz w:val="24"/>
          <w:szCs w:val="24"/>
        </w:rPr>
        <w:t>.</w:t>
      </w:r>
      <w:r w:rsidRPr="000F69C0">
        <w:rPr>
          <w:rFonts w:ascii="Book Antiqua" w:eastAsia="Book Antiqua" w:hAnsi="Book Antiqua" w:cs="Book Antiqua"/>
          <w:sz w:val="24"/>
          <w:szCs w:val="24"/>
          <w:vertAlign w:val="superscript"/>
        </w:rPr>
        <w:footnoteReference w:id="19"/>
      </w:r>
    </w:p>
    <w:p w:rsidR="006F25A1" w:rsidRPr="000F69C0" w:rsidRDefault="00EC24BA" w:rsidP="000F69C0">
      <w:pPr>
        <w:spacing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The UK system also faces its own difficulties, especially i</w:t>
      </w:r>
      <w:r w:rsidRPr="000F69C0">
        <w:rPr>
          <w:rFonts w:ascii="Book Antiqua" w:eastAsia="Book Antiqua" w:hAnsi="Book Antiqua" w:cs="Book Antiqua"/>
          <w:sz w:val="24"/>
          <w:szCs w:val="24"/>
        </w:rPr>
        <w:t>n managing the tension between the need to protect confidential intelligence information and the individual’s right to a fair trial. Paresh Kathrani notes that SIAC’s closed procedures, although formally designed to satisfy due process, still raise a funda</w:t>
      </w:r>
      <w:r w:rsidRPr="000F69C0">
        <w:rPr>
          <w:rFonts w:ascii="Book Antiqua" w:eastAsia="Book Antiqua" w:hAnsi="Book Antiqua" w:cs="Book Antiqua"/>
          <w:sz w:val="24"/>
          <w:szCs w:val="24"/>
        </w:rPr>
        <w:t>mental question about the balance between state security and the rule of law.</w:t>
      </w:r>
      <w:r w:rsidRPr="000F69C0">
        <w:rPr>
          <w:rFonts w:ascii="Book Antiqua" w:eastAsia="Book Antiqua" w:hAnsi="Book Antiqua" w:cs="Book Antiqua"/>
          <w:sz w:val="24"/>
          <w:szCs w:val="24"/>
          <w:vertAlign w:val="superscript"/>
        </w:rPr>
        <w:footnoteReference w:id="20"/>
      </w:r>
      <w:r w:rsidRPr="000F69C0">
        <w:rPr>
          <w:rFonts w:ascii="Book Antiqua" w:eastAsia="Book Antiqua" w:hAnsi="Book Antiqua" w:cs="Book Antiqua"/>
          <w:sz w:val="24"/>
          <w:szCs w:val="24"/>
        </w:rPr>
        <w:t xml:space="preserve"> This criticism has become increasingly relevant internationally, as terrorism and cybersecurity threats continue to encourage states to broaden executive powers.</w:t>
      </w:r>
    </w:p>
    <w:p w:rsidR="006F25A1" w:rsidRPr="000F69C0" w:rsidRDefault="00F343C6">
      <w:pPr>
        <w:spacing w:line="276" w:lineRule="auto"/>
        <w:rPr>
          <w:rFonts w:ascii="Book Antiqua" w:eastAsia="Book Antiqua" w:hAnsi="Book Antiqua" w:cs="Book Antiqua"/>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73600" behindDoc="0" locked="0" layoutInCell="1" allowOverlap="1" wp14:anchorId="4D76269C" wp14:editId="48B41998">
                <wp:simplePos x="0" y="0"/>
                <wp:positionH relativeFrom="column">
                  <wp:posOffset>5599289</wp:posOffset>
                </wp:positionH>
                <wp:positionV relativeFrom="paragraph">
                  <wp:posOffset>-452191</wp:posOffset>
                </wp:positionV>
                <wp:extent cx="417689" cy="383822"/>
                <wp:effectExtent l="0" t="0" r="1905" b="0"/>
                <wp:wrapNone/>
                <wp:docPr id="12" name="Text Box 12"/>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2" o:spid="_x0000_s1033" type="#_x0000_t202" style="position:absolute;left:0;text-align:left;margin-left:440.9pt;margin-top:-35.6pt;width:32.9pt;height:3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iPDRQIAAIEEAAAOAAAAZHJzL2Uyb0RvYy54bWysVMlu2zAQvRfoPxC8N/IW2zEsB66DFAWM&#13;&#10;JEBS5ExTlC2A4rAkbcn9+j5Sdrb2VPRCDWeGs7w3o/l1W2t2UM5XZHLev+hxpoykojLbnP94uv0y&#13;&#10;5cwHYQqhyaicH5Xn14vPn+aNnakB7UgXyjEEMX7W2JzvQrCzLPNyp2rhL8gqA2NJrhYBV7fNCica&#13;&#10;RK91Nuj1xllDrrCOpPIe2pvOyBcpflkqGe7L0qvAdM5RW0inS+cmntliLmZbJ+yukqcyxD9UUYvK&#13;&#10;IOlLqBsRBNu76o9QdSUdeSrDhaQ6o7KspEo9oJt+70M3jzthVeoF4Hj7ApP/f2Hl3eHBsaoAdwPO&#13;&#10;jKjB0ZNqA/tKLYMK+DTWz+D2aOEYWujhe9Z7KGPbbenq+EVDDHYgfXxBN0aTUI76k/H0ijMJ03A6&#13;&#10;nA5S9Oz1sXU+fFNUsyjk3IG8hKk4rH1AIXA9u8RcnnRV3FZap0scGLXSjh0EqNYhlYgX77y0YU3O&#13;&#10;x8PLXgpsKD7vImuDBLHVrqUohXbTJmgm53Y3VByBgqNujryVtxVqXQsfHoTD4KBxLEO4x1FqQi46&#13;&#10;SZztyP36mz76g09YOWswiDn3P/fCKc70dwOmr/qjUZzcdBldTga4uLeWzVuL2dcrAgB9rJ2VSYz+&#13;&#10;QZ/F0lH9jJ1ZxqwwCSORO+fhLK5Ctx7YOamWy+SEWbUirM2jlTF0BDwy8dQ+C2dPdAXwfEfnkRWz&#13;&#10;D6x1vvGloeU+UFklSiPOHaon+DHnienTTsZFentPXq9/jsVvAAAA//8DAFBLAwQUAAYACAAAACEA&#13;&#10;zKDWiOcAAAAQAQAADwAAAGRycy9kb3ducmV2LnhtbEyPy07DMBBF90j8gzVIbFDrpIUmpHEqxKNI&#13;&#10;7Gh4iJ0bD0lEPI5iNw1/z7CCzUjzuvfcfDPZTow4+NaRgngegUCqnGmpVvBSPsxSED5oMrpzhAq+&#13;&#10;0cOmOD3JdWbckZ5x3IVasAj5TCtoQugzKX3VoNV+7nok3n26werA7VBLM+gji9tOLqJoJa1uiR0a&#13;&#10;3eNtg9XX7mAVfFzU709+2r4el1fL/v5xLJM3Uyp1fjbdrbncrEEEnMLfB/xmYH4oGGzvDmS86BSk&#13;&#10;acz8QcEsiRcg+OL6MlmB2PMkjlKQRS7/Byl+AAAA//8DAFBLAQItABQABgAIAAAAIQC2gziS/gAA&#13;&#10;AOEBAAATAAAAAAAAAAAAAAAAAAAAAABbQ29udGVudF9UeXBlc10ueG1sUEsBAi0AFAAGAAgAAAAh&#13;&#10;ADj9If/WAAAAlAEAAAsAAAAAAAAAAAAAAAAALwEAAF9yZWxzLy5yZWxzUEsBAi0AFAAGAAgAAAAh&#13;&#10;APBCI8NFAgAAgQQAAA4AAAAAAAAAAAAAAAAALgIAAGRycy9lMm9Eb2MueG1sUEsBAi0AFAAGAAgA&#13;&#10;AAAhAMyg1ojnAAAAEAEAAA8AAAAAAAAAAAAAAAAAnwQAAGRycy9kb3ducmV2LnhtbFBLBQYAAAAA&#13;&#10;BAAEAPMAAACzBQ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36</w:t>
                      </w:r>
                    </w:p>
                  </w:txbxContent>
                </v:textbox>
              </v:shape>
            </w:pict>
          </mc:Fallback>
        </mc:AlternateContent>
      </w:r>
      <w:r w:rsidR="00EC24BA" w:rsidRPr="000F69C0">
        <w:rPr>
          <w:rFonts w:ascii="Book Antiqua" w:eastAsia="Book Antiqua" w:hAnsi="Book Antiqua" w:cs="Book Antiqua"/>
          <w:sz w:val="24"/>
          <w:szCs w:val="24"/>
        </w:rPr>
        <w:t>International l</w:t>
      </w:r>
      <w:r w:rsidR="00EC24BA" w:rsidRPr="000F69C0">
        <w:rPr>
          <w:rFonts w:ascii="Book Antiqua" w:eastAsia="Book Antiqua" w:hAnsi="Book Antiqua" w:cs="Book Antiqua"/>
          <w:sz w:val="24"/>
          <w:szCs w:val="24"/>
        </w:rPr>
        <w:t>aw also presents challenges for both systems. The UN Convention on Transnational Organi</w:t>
      </w:r>
      <w:r w:rsidR="000F69C0">
        <w:rPr>
          <w:rFonts w:ascii="Book Antiqua" w:eastAsia="Book Antiqua" w:hAnsi="Book Antiqua" w:cs="Book Antiqua"/>
          <w:sz w:val="24"/>
          <w:szCs w:val="24"/>
        </w:rPr>
        <w:t>s</w:t>
      </w:r>
      <w:r w:rsidR="00EC24BA" w:rsidRPr="000F69C0">
        <w:rPr>
          <w:rFonts w:ascii="Book Antiqua" w:eastAsia="Book Antiqua" w:hAnsi="Book Antiqua" w:cs="Book Antiqua"/>
          <w:sz w:val="24"/>
          <w:szCs w:val="24"/>
        </w:rPr>
        <w:t xml:space="preserve">ed Crime requires member states to take effective measures to prevent cross-border movement by offenders, which in practice can expand </w:t>
      </w:r>
      <w:r w:rsidR="000F69C0">
        <w:rPr>
          <w:rFonts w:ascii="Book Antiqua" w:eastAsia="Book Antiqua" w:hAnsi="Book Antiqua" w:cs="Book Antiqua"/>
          <w:sz w:val="24"/>
          <w:szCs w:val="24"/>
        </w:rPr>
        <w:t>prevention</w:t>
      </w:r>
      <w:r w:rsidR="00EC24BA" w:rsidRPr="000F69C0">
        <w:rPr>
          <w:rFonts w:ascii="Book Antiqua" w:eastAsia="Book Antiqua" w:hAnsi="Book Antiqua" w:cs="Book Antiqua"/>
          <w:sz w:val="24"/>
          <w:szCs w:val="24"/>
        </w:rPr>
        <w:t xml:space="preserve"> criteria</w:t>
      </w:r>
      <w:r w:rsidR="00EC24BA" w:rsidRPr="000F69C0">
        <w:rPr>
          <w:rFonts w:ascii="Book Antiqua" w:eastAsia="Book Antiqua" w:hAnsi="Book Antiqua" w:cs="Book Antiqua"/>
          <w:sz w:val="24"/>
          <w:szCs w:val="24"/>
        </w:rPr>
        <w:t xml:space="preserve">. The </w:t>
      </w:r>
      <w:r w:rsidR="00EC24BA" w:rsidRPr="000F69C0">
        <w:rPr>
          <w:rFonts w:ascii="Book Antiqua" w:eastAsia="Book Antiqua" w:hAnsi="Book Antiqua" w:cs="Book Antiqua"/>
          <w:sz w:val="24"/>
          <w:szCs w:val="24"/>
        </w:rPr>
        <w:t xml:space="preserve">next issue is how to ensure that </w:t>
      </w:r>
      <w:r w:rsidR="000F69C0">
        <w:rPr>
          <w:rFonts w:ascii="Book Antiqua" w:eastAsia="Book Antiqua" w:hAnsi="Book Antiqua" w:cs="Book Antiqua"/>
          <w:sz w:val="24"/>
          <w:szCs w:val="24"/>
        </w:rPr>
        <w:t>this</w:t>
      </w:r>
      <w:r w:rsidR="000F69C0" w:rsidRPr="000F69C0">
        <w:rPr>
          <w:rFonts w:ascii="Book Antiqua" w:eastAsia="Book Antiqua" w:hAnsi="Book Antiqua" w:cs="Book Antiqua"/>
          <w:sz w:val="24"/>
          <w:szCs w:val="24"/>
        </w:rPr>
        <w:t xml:space="preserve"> expansion does not </w:t>
      </w:r>
      <w:r w:rsidR="000F69C0">
        <w:rPr>
          <w:rFonts w:ascii="Book Antiqua" w:eastAsia="Book Antiqua" w:hAnsi="Book Antiqua" w:cs="Book Antiqua"/>
          <w:sz w:val="24"/>
          <w:szCs w:val="24"/>
        </w:rPr>
        <w:t>violate</w:t>
      </w:r>
      <w:r w:rsidR="00EC24BA" w:rsidRPr="000F69C0">
        <w:rPr>
          <w:rFonts w:ascii="Book Antiqua" w:eastAsia="Book Antiqua" w:hAnsi="Book Antiqua" w:cs="Book Antiqua"/>
          <w:sz w:val="24"/>
          <w:szCs w:val="24"/>
        </w:rPr>
        <w:t xml:space="preserve"> non-</w:t>
      </w:r>
      <w:proofErr w:type="spellStart"/>
      <w:r w:rsidR="00EC24BA" w:rsidRPr="000F69C0">
        <w:rPr>
          <w:rFonts w:ascii="Book Antiqua" w:eastAsia="Book Antiqua" w:hAnsi="Book Antiqua" w:cs="Book Antiqua"/>
          <w:sz w:val="24"/>
          <w:szCs w:val="24"/>
        </w:rPr>
        <w:t>refoulement</w:t>
      </w:r>
      <w:proofErr w:type="spellEnd"/>
      <w:r w:rsidR="00EC24BA" w:rsidRPr="000F69C0">
        <w:rPr>
          <w:rFonts w:ascii="Book Antiqua" w:eastAsia="Book Antiqua" w:hAnsi="Book Antiqua" w:cs="Book Antiqua"/>
          <w:sz w:val="24"/>
          <w:szCs w:val="24"/>
        </w:rPr>
        <w:t xml:space="preserve"> and other human rights principles. </w:t>
      </w:r>
      <w:proofErr w:type="spellStart"/>
      <w:r w:rsidR="00EC24BA" w:rsidRPr="000F69C0">
        <w:rPr>
          <w:rFonts w:ascii="Book Antiqua" w:eastAsia="Book Antiqua" w:hAnsi="Book Antiqua" w:cs="Book Antiqua"/>
          <w:sz w:val="24"/>
          <w:szCs w:val="24"/>
        </w:rPr>
        <w:t>Damos</w:t>
      </w:r>
      <w:proofErr w:type="spellEnd"/>
      <w:r w:rsidR="00EC24BA" w:rsidRPr="000F69C0">
        <w:rPr>
          <w:rFonts w:ascii="Book Antiqua" w:eastAsia="Book Antiqua" w:hAnsi="Book Antiqua" w:cs="Book Antiqua"/>
          <w:sz w:val="24"/>
          <w:szCs w:val="24"/>
        </w:rPr>
        <w:t xml:space="preserve"> </w:t>
      </w:r>
      <w:proofErr w:type="spellStart"/>
      <w:r w:rsidR="00EC24BA" w:rsidRPr="000F69C0">
        <w:rPr>
          <w:rFonts w:ascii="Book Antiqua" w:eastAsia="Book Antiqua" w:hAnsi="Book Antiqua" w:cs="Book Antiqua"/>
          <w:sz w:val="24"/>
          <w:szCs w:val="24"/>
        </w:rPr>
        <w:t>Dumoli</w:t>
      </w:r>
      <w:proofErr w:type="spellEnd"/>
      <w:r w:rsidR="00EC24BA" w:rsidRPr="000F69C0">
        <w:rPr>
          <w:rFonts w:ascii="Book Antiqua" w:eastAsia="Book Antiqua" w:hAnsi="Book Antiqua" w:cs="Book Antiqua"/>
          <w:sz w:val="24"/>
          <w:szCs w:val="24"/>
        </w:rPr>
        <w:t xml:space="preserve"> </w:t>
      </w:r>
      <w:proofErr w:type="spellStart"/>
      <w:r w:rsidR="00EC24BA" w:rsidRPr="000F69C0">
        <w:rPr>
          <w:rFonts w:ascii="Book Antiqua" w:eastAsia="Book Antiqua" w:hAnsi="Book Antiqua" w:cs="Book Antiqua"/>
          <w:sz w:val="24"/>
          <w:szCs w:val="24"/>
        </w:rPr>
        <w:t>Agusman</w:t>
      </w:r>
      <w:proofErr w:type="spellEnd"/>
      <w:r w:rsidR="00EC24BA" w:rsidRPr="000F69C0">
        <w:rPr>
          <w:rFonts w:ascii="Book Antiqua" w:eastAsia="Book Antiqua" w:hAnsi="Book Antiqua" w:cs="Book Antiqua"/>
          <w:sz w:val="24"/>
          <w:szCs w:val="24"/>
        </w:rPr>
        <w:t xml:space="preserve"> emphasi</w:t>
      </w:r>
      <w:r w:rsidR="000F69C0">
        <w:rPr>
          <w:rFonts w:ascii="Book Antiqua" w:eastAsia="Book Antiqua" w:hAnsi="Book Antiqua" w:cs="Book Antiqua"/>
          <w:sz w:val="24"/>
          <w:szCs w:val="24"/>
        </w:rPr>
        <w:t>s</w:t>
      </w:r>
      <w:r w:rsidR="00EC24BA" w:rsidRPr="000F69C0">
        <w:rPr>
          <w:rFonts w:ascii="Book Antiqua" w:eastAsia="Book Antiqua" w:hAnsi="Book Antiqua" w:cs="Book Antiqua"/>
          <w:sz w:val="24"/>
          <w:szCs w:val="24"/>
        </w:rPr>
        <w:t>es the importance of an approach grounded in international legal obligations in every policy co</w:t>
      </w:r>
      <w:r w:rsidR="00EC24BA" w:rsidRPr="000F69C0">
        <w:rPr>
          <w:rFonts w:ascii="Book Antiqua" w:eastAsia="Book Antiqua" w:hAnsi="Book Antiqua" w:cs="Book Antiqua"/>
          <w:sz w:val="24"/>
          <w:szCs w:val="24"/>
        </w:rPr>
        <w:t>ncerning individual rights under international treaties. In this context, Indonesia and the UK must consistently ensure that their prevention practices remain aligned with the international commitments they have accepted.</w:t>
      </w:r>
      <w:r w:rsidR="00EC24BA" w:rsidRPr="000F69C0">
        <w:rPr>
          <w:rFonts w:ascii="Book Antiqua" w:eastAsia="Book Antiqua" w:hAnsi="Book Antiqua" w:cs="Book Antiqua"/>
          <w:sz w:val="24"/>
          <w:szCs w:val="24"/>
          <w:vertAlign w:val="superscript"/>
        </w:rPr>
        <w:footnoteReference w:id="21"/>
      </w:r>
    </w:p>
    <w:p w:rsidR="006F25A1" w:rsidRPr="000F69C0" w:rsidRDefault="00EC24BA">
      <w:pPr>
        <w:spacing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Based on the comparative study co</w:t>
      </w:r>
      <w:r w:rsidRPr="000F69C0">
        <w:rPr>
          <w:rFonts w:ascii="Book Antiqua" w:eastAsia="Book Antiqua" w:hAnsi="Book Antiqua" w:cs="Book Antiqua"/>
          <w:sz w:val="24"/>
          <w:szCs w:val="24"/>
        </w:rPr>
        <w:t xml:space="preserve">nducted, several aspects of Indonesia’s immigration legal system require renewal, particularly those related to deterrence policy. Such reform is important </w:t>
      </w:r>
      <w:r w:rsidR="000F69C0">
        <w:rPr>
          <w:rFonts w:ascii="Book Antiqua" w:eastAsia="Book Antiqua" w:hAnsi="Book Antiqua" w:cs="Book Antiqua"/>
          <w:sz w:val="24"/>
          <w:szCs w:val="24"/>
        </w:rPr>
        <w:t>given</w:t>
      </w:r>
      <w:r w:rsidRPr="000F69C0">
        <w:rPr>
          <w:rFonts w:ascii="Book Antiqua" w:eastAsia="Book Antiqua" w:hAnsi="Book Antiqua" w:cs="Book Antiqua"/>
          <w:sz w:val="24"/>
          <w:szCs w:val="24"/>
        </w:rPr>
        <w:t xml:space="preserve"> changing security threats and the development of international human rights standards. Fi</w:t>
      </w:r>
      <w:r w:rsidRPr="000F69C0">
        <w:rPr>
          <w:rFonts w:ascii="Book Antiqua" w:eastAsia="Book Antiqua" w:hAnsi="Book Antiqua" w:cs="Book Antiqua"/>
          <w:sz w:val="24"/>
          <w:szCs w:val="24"/>
        </w:rPr>
        <w:t xml:space="preserve">rst, Indonesia needs to establish an independent judicial oversight mechanism focused on immigration matters. Creating an independent immigration tribunal, comparable to </w:t>
      </w:r>
      <w:r w:rsidR="000F69C0">
        <w:rPr>
          <w:rFonts w:ascii="Book Antiqua" w:eastAsia="Book Antiqua" w:hAnsi="Book Antiqua" w:cs="Book Antiqua"/>
          <w:sz w:val="24"/>
          <w:szCs w:val="24"/>
        </w:rPr>
        <w:t>the UK’s</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SIAC</w:t>
      </w:r>
      <w:r w:rsidRPr="000F69C0">
        <w:rPr>
          <w:rFonts w:ascii="Book Antiqua" w:eastAsia="Book Antiqua" w:hAnsi="Book Antiqua" w:cs="Book Antiqua"/>
          <w:sz w:val="24"/>
          <w:szCs w:val="24"/>
        </w:rPr>
        <w:t>, could be</w:t>
      </w:r>
      <w:r w:rsidRPr="000F69C0">
        <w:rPr>
          <w:rFonts w:ascii="Book Antiqua" w:eastAsia="Book Antiqua" w:hAnsi="Book Antiqua" w:cs="Book Antiqua"/>
          <w:sz w:val="24"/>
          <w:szCs w:val="24"/>
        </w:rPr>
        <w:t xml:space="preserve"> an effective option. Jawahir Thontowi argues that strengt</w:t>
      </w:r>
      <w:r w:rsidRPr="000F69C0">
        <w:rPr>
          <w:rFonts w:ascii="Book Antiqua" w:eastAsia="Book Antiqua" w:hAnsi="Book Antiqua" w:cs="Book Antiqua"/>
          <w:sz w:val="24"/>
          <w:szCs w:val="24"/>
        </w:rPr>
        <w:t>hening judicial mechanisms in immigration law is not only a human rights requirement but also necessary to ensure that immigration policy serves long-term national interests with solid accountability.</w:t>
      </w:r>
      <w:r w:rsidRPr="000F69C0">
        <w:rPr>
          <w:rFonts w:ascii="Book Antiqua" w:eastAsia="Book Antiqua" w:hAnsi="Book Antiqua" w:cs="Book Antiqua"/>
          <w:sz w:val="24"/>
          <w:szCs w:val="24"/>
          <w:vertAlign w:val="superscript"/>
        </w:rPr>
        <w:footnoteReference w:id="22"/>
      </w:r>
    </w:p>
    <w:p w:rsidR="006F25A1" w:rsidRPr="000F69C0" w:rsidRDefault="00EC24BA">
      <w:pPr>
        <w:spacing w:line="276" w:lineRule="auto"/>
        <w:ind w:firstLine="720"/>
        <w:rPr>
          <w:rFonts w:ascii="Book Antiqua" w:eastAsia="Book Antiqua" w:hAnsi="Book Antiqua" w:cs="Book Antiqua"/>
          <w:sz w:val="24"/>
          <w:szCs w:val="24"/>
        </w:rPr>
      </w:pPr>
      <w:r w:rsidRPr="000F69C0">
        <w:rPr>
          <w:rFonts w:ascii="Book Antiqua" w:eastAsia="Book Antiqua" w:hAnsi="Book Antiqua" w:cs="Book Antiqua"/>
          <w:sz w:val="24"/>
          <w:szCs w:val="24"/>
        </w:rPr>
        <w:t>Second, the right to submit an objection and the proce</w:t>
      </w:r>
      <w:r w:rsidRPr="000F69C0">
        <w:rPr>
          <w:rFonts w:ascii="Book Antiqua" w:eastAsia="Book Antiqua" w:hAnsi="Book Antiqua" w:cs="Book Antiqua"/>
          <w:sz w:val="24"/>
          <w:szCs w:val="24"/>
        </w:rPr>
        <w:t>dure for requesting removal from the deterrence list need to be codified in greater detail. At present, procedural uncertainty creates legal insecurity for affected individuals. This reform is consistent with the mandate of Law Number 39 of 1999 concerning</w:t>
      </w:r>
      <w:r w:rsidRPr="000F69C0">
        <w:rPr>
          <w:rFonts w:ascii="Book Antiqua" w:eastAsia="Book Antiqua" w:hAnsi="Book Antiqua" w:cs="Book Antiqua"/>
          <w:sz w:val="24"/>
          <w:szCs w:val="24"/>
        </w:rPr>
        <w:t xml:space="preserve"> Human Rights, which guarantees that everyone may obtain justice through the legal process.</w:t>
      </w:r>
      <w:r w:rsidRPr="000F69C0">
        <w:rPr>
          <w:rFonts w:ascii="Book Antiqua" w:eastAsia="Book Antiqua" w:hAnsi="Book Antiqua" w:cs="Book Antiqua"/>
          <w:sz w:val="24"/>
          <w:szCs w:val="24"/>
          <w:vertAlign w:val="superscript"/>
        </w:rPr>
        <w:footnoteReference w:id="23"/>
      </w:r>
      <w:r w:rsidRPr="000F69C0">
        <w:rPr>
          <w:rFonts w:ascii="Book Antiqua" w:eastAsia="Book Antiqua" w:hAnsi="Book Antiqua" w:cs="Book Antiqua"/>
          <w:sz w:val="24"/>
          <w:szCs w:val="24"/>
        </w:rPr>
        <w:t xml:space="preserve"> Third, the principle of proportionality should be expressly incorporated into Indonesian immigration law. Contemporary immigration legislation should clearly requi</w:t>
      </w:r>
      <w:r w:rsidRPr="000F69C0">
        <w:rPr>
          <w:rFonts w:ascii="Book Antiqua" w:eastAsia="Book Antiqua" w:hAnsi="Book Antiqua" w:cs="Book Antiqua"/>
          <w:sz w:val="24"/>
          <w:szCs w:val="24"/>
        </w:rPr>
        <w:t>re every deterrence decision to assess its impact on family life and weigh that impact against the objectives pursued. This approach would bring Indonesia’s legal system closer to existing international standards. Fourth, Indonesia should strengthen the tr</w:t>
      </w:r>
      <w:r w:rsidRPr="000F69C0">
        <w:rPr>
          <w:rFonts w:ascii="Book Antiqua" w:eastAsia="Book Antiqua" w:hAnsi="Book Antiqua" w:cs="Book Antiqua"/>
          <w:sz w:val="24"/>
          <w:szCs w:val="24"/>
        </w:rPr>
        <w:t>aining system and human-resource capacity in the immigration sector, especially for handling cases involving human rights aspects.</w:t>
      </w:r>
      <w:r w:rsidRPr="000F69C0">
        <w:rPr>
          <w:rFonts w:ascii="Book Antiqua" w:eastAsia="Book Antiqua" w:hAnsi="Book Antiqua" w:cs="Book Antiqua"/>
          <w:sz w:val="24"/>
          <w:szCs w:val="24"/>
          <w:vertAlign w:val="superscript"/>
        </w:rPr>
        <w:footnoteReference w:id="24"/>
      </w:r>
      <w:r w:rsidRPr="000F69C0">
        <w:rPr>
          <w:rFonts w:ascii="Book Antiqua" w:eastAsia="Book Antiqua" w:hAnsi="Book Antiqua" w:cs="Book Antiqua"/>
          <w:sz w:val="24"/>
          <w:szCs w:val="24"/>
        </w:rPr>
        <w:t xml:space="preserve"> With adequate capacity, immigration officials will better understand applicable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75648" behindDoc="0" locked="0" layoutInCell="1" allowOverlap="1" wp14:anchorId="4D76269C" wp14:editId="48B41998">
                <wp:simplePos x="0" y="0"/>
                <wp:positionH relativeFrom="column">
                  <wp:posOffset>5633155</wp:posOffset>
                </wp:positionH>
                <wp:positionV relativeFrom="paragraph">
                  <wp:posOffset>-356658</wp:posOffset>
                </wp:positionV>
                <wp:extent cx="417689" cy="383822"/>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3" o:spid="_x0000_s1034" type="#_x0000_t202" style="position:absolute;left:0;text-align:left;margin-left:443.55pt;margin-top:-28.1pt;width:32.9pt;height:3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9lpoRQIAAIEEAAAOAAAAZHJzL2Uyb0RvYy54bWysVE1vGjEQvVfqf7B8L8tXCFmxRJSIqhJK&#13;&#10;IpEqZ+O12ZVsj2sbdumv79gLhKQ9Vb2Y8czb55k3M8zuW63IQThfgynooNenRBgOZW12Bf3xsvoy&#13;&#10;pcQHZkqmwIiCHoWn9/PPn2aNzcUQKlClcARJjM8bW9AqBJtnmeeV0Mz3wAqDQQlOs4BXt8tKxxpk&#13;&#10;1yob9vuTrAFXWgdceI/ehy5I54lfSsHDk5ReBKIKirmFdLp0buOZzWcs3zlmq5qf0mD/kIVmtcFH&#13;&#10;L1QPLDCyd/UfVLrmDjzI0OOgM5Cy5iLVgNUM+h+q2VTMilQLiuPtRSb//2j54+HZkbrE3o0oMUxj&#13;&#10;j15EG8hXaAm6UJ/G+hxhG4vA0KIfsWe/R2csu5VOx18siGAclT5e1I1sHJ3jwe1kekcJx9BoOpoO&#13;&#10;h5Ele/vYOh++CdAkGgV12LykKTusfeigZ0h8y4Oqy1WtVLrEgRFL5ciBYatVSCki+TuUMqQp6GR0&#13;&#10;00/EBuLnHbMymEsstSspWqHdtkma6bncLZRHVMFBN0fe8lWNua6ZD8/M4eBg4bgM4QkPqQDfgpNF&#13;&#10;SQXu19/8EY/9xCglDQ5iQf3PPXOCEvXdYKfvBuNxnNx0Gd/cDvHiriPb64jZ6yWgAANcO8uTGfFB&#13;&#10;nU3pQL/iziziqxhihuPbBQ1ncxm69cCd42KxSCCcVcvC2mwsj9RR8NiJl/aVOXtqV8A+P8J5ZFn+&#13;&#10;oWsdNn5pYLEPIOvU0qhzp+pJfpzzNBSnnYyLdH1PqLd/jvlvAAAA//8DAFBLAwQUAAYACAAAACEA&#13;&#10;F1MhI+UAAAAOAQAADwAAAGRycy9kb3ducmV2LnhtbExPyW6DMBC9V8o/WBOplyoxISUhBBNVXVKp&#13;&#10;t4Yu6s3BE0DBY4QdoH9f99ReRnqat6a7UTesx87WhgQs5gEwpMKomkoBb/nTLAZmnSQlG0Mo4Bst&#13;&#10;7LLJVSoTZQZ6xf7gSuZNyCZSQOVcm3Buiwq1tHPTIvnfyXRaOg+7kqtODt5cNzwMghXXsiafUMkW&#13;&#10;7ysszoeLFvB1U36+2HH/PiyjZfv43OfrD5ULcT0dH7b+3G2BORzdnwJ+N/j+kPliR3MhZVkjII7X&#13;&#10;C08VMItWITDP2EThBthRwG0IPEv5/xnZDwAAAP//AwBQSwECLQAUAAYACAAAACEAtoM4kv4AAADh&#13;&#10;AQAAEwAAAAAAAAAAAAAAAAAAAAAAW0NvbnRlbnRfVHlwZXNdLnhtbFBLAQItABQABgAIAAAAIQA4&#13;&#10;/SH/1gAAAJQBAAALAAAAAAAAAAAAAAAAAC8BAABfcmVscy8ucmVsc1BLAQItABQABgAIAAAAIQBO&#13;&#10;9lpoRQIAAIEEAAAOAAAAAAAAAAAAAAAAAC4CAABkcnMvZTJvRG9jLnhtbFBLAQItABQABgAIAAAA&#13;&#10;IQAXUyEj5QAAAA4BAAAPAAAAAAAAAAAAAAAAAJ8EAABkcnMvZG93bnJldi54bWxQSwUGAAAAAAQA&#13;&#10;BADzAAAAsQU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37</w:t>
                      </w:r>
                    </w:p>
                  </w:txbxContent>
                </v:textbox>
              </v:shape>
            </w:pict>
          </mc:Fallback>
        </mc:AlternateContent>
      </w:r>
      <w:r w:rsidRPr="000F69C0">
        <w:rPr>
          <w:rFonts w:ascii="Book Antiqua" w:eastAsia="Book Antiqua" w:hAnsi="Book Antiqua" w:cs="Book Antiqua"/>
          <w:sz w:val="24"/>
          <w:szCs w:val="24"/>
        </w:rPr>
        <w:t>international standards, so deterrence decis</w:t>
      </w:r>
      <w:r w:rsidRPr="000F69C0">
        <w:rPr>
          <w:rFonts w:ascii="Book Antiqua" w:eastAsia="Book Antiqua" w:hAnsi="Book Antiqua" w:cs="Book Antiqua"/>
          <w:sz w:val="24"/>
          <w:szCs w:val="24"/>
        </w:rPr>
        <w:t xml:space="preserve">ions can be justified within both national and </w:t>
      </w:r>
      <w:r w:rsidRPr="000F69C0">
        <w:rPr>
          <w:rFonts w:ascii="Book Antiqua" w:eastAsia="Book Antiqua" w:hAnsi="Book Antiqua" w:cs="Book Antiqua"/>
          <w:sz w:val="24"/>
          <w:szCs w:val="24"/>
        </w:rPr>
        <w:t xml:space="preserve">international legal contexts.  </w:t>
      </w:r>
      <w:r w:rsidRPr="000F69C0">
        <w:rPr>
          <w:rFonts w:ascii="Book Antiqua" w:eastAsia="Book Antiqua" w:hAnsi="Book Antiqua" w:cs="Book Antiqua"/>
          <w:sz w:val="24"/>
          <w:szCs w:val="24"/>
        </w:rPr>
        <w:tab/>
      </w:r>
    </w:p>
    <w:p w:rsidR="006F25A1" w:rsidRPr="000F69C0" w:rsidRDefault="006F25A1">
      <w:pPr>
        <w:spacing w:after="0" w:line="276" w:lineRule="auto"/>
        <w:rPr>
          <w:rFonts w:ascii="Book Antiqua" w:eastAsia="Book Antiqua" w:hAnsi="Book Antiqua" w:cs="Book Antiqua"/>
          <w:sz w:val="24"/>
          <w:szCs w:val="24"/>
        </w:rPr>
      </w:pPr>
    </w:p>
    <w:p w:rsidR="006F25A1" w:rsidRPr="000F69C0" w:rsidRDefault="00EC24BA">
      <w:pPr>
        <w:pStyle w:val="Heading1"/>
        <w:numPr>
          <w:ilvl w:val="0"/>
          <w:numId w:val="1"/>
        </w:numPr>
        <w:tabs>
          <w:tab w:val="left" w:pos="461"/>
        </w:tabs>
        <w:spacing w:line="276" w:lineRule="auto"/>
        <w:ind w:right="122"/>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Conclusion </w:t>
      </w:r>
    </w:p>
    <w:p w:rsidR="006F25A1" w:rsidRPr="000F69C0" w:rsidRDefault="00EC24BA">
      <w:pPr>
        <w:tabs>
          <w:tab w:val="left" w:pos="461"/>
        </w:tabs>
        <w:spacing w:before="240" w:after="240"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ab/>
        <w:t xml:space="preserve">This comparative analysis shows that modern immigration law operates within a conceptual tension between absolute state sovereignty and the cross-border </w:t>
      </w:r>
      <w:r w:rsidRPr="000F69C0">
        <w:rPr>
          <w:rFonts w:ascii="Book Antiqua" w:eastAsia="Book Antiqua" w:hAnsi="Book Antiqua" w:cs="Book Antiqua"/>
          <w:sz w:val="24"/>
          <w:szCs w:val="24"/>
        </w:rPr>
        <w:t>protection of universal human rights. Both Indonesia and the United Kingdom rely on the classical doctrine of jus exclusionis as a legitimate basis for executive authorities to impose entry bans (penangkalan) to protect national security, domestic stabilit</w:t>
      </w:r>
      <w:r w:rsidRPr="000F69C0">
        <w:rPr>
          <w:rFonts w:ascii="Book Antiqua" w:eastAsia="Book Antiqua" w:hAnsi="Book Antiqua" w:cs="Book Antiqua"/>
          <w:sz w:val="24"/>
          <w:szCs w:val="24"/>
        </w:rPr>
        <w:t xml:space="preserve">y, and public order. In Indonesia’s constitutional framework, </w:t>
      </w:r>
      <w:r w:rsidRPr="000F69C0">
        <w:rPr>
          <w:rFonts w:ascii="Book Antiqua" w:eastAsia="Book Antiqua" w:hAnsi="Book Antiqua" w:cs="Book Antiqua"/>
          <w:sz w:val="24"/>
          <w:szCs w:val="24"/>
        </w:rPr>
        <w:t>Article 1 paragraph (2) of the 1945 Constitution</w:t>
      </w:r>
      <w:r w:rsidR="000F69C0">
        <w:rPr>
          <w:rFonts w:ascii="Book Antiqua" w:eastAsia="Book Antiqua" w:hAnsi="Book Antiqua" w:cs="Book Antiqua"/>
          <w:sz w:val="24"/>
          <w:szCs w:val="24"/>
        </w:rPr>
        <w:t xml:space="preserve"> firmly grounds sovereign control over territorial borders</w:t>
      </w:r>
      <w:r w:rsidRPr="000F69C0">
        <w:rPr>
          <w:rFonts w:ascii="Book Antiqua" w:eastAsia="Book Antiqua" w:hAnsi="Book Antiqua" w:cs="Book Antiqua"/>
          <w:sz w:val="24"/>
          <w:szCs w:val="24"/>
        </w:rPr>
        <w:t xml:space="preserve">. Nevertheless, </w:t>
      </w:r>
      <w:r w:rsidR="000F69C0">
        <w:rPr>
          <w:rFonts w:ascii="Book Antiqua" w:eastAsia="Book Antiqua" w:hAnsi="Book Antiqua" w:cs="Book Antiqua"/>
          <w:sz w:val="24"/>
          <w:szCs w:val="24"/>
        </w:rPr>
        <w:t>Indonesia's</w:t>
      </w:r>
      <w:r w:rsidR="000F69C0" w:rsidRPr="000F69C0">
        <w:rPr>
          <w:rFonts w:ascii="Book Antiqua" w:eastAsia="Book Antiqua" w:hAnsi="Book Antiqua" w:cs="Book Antiqua"/>
          <w:sz w:val="24"/>
          <w:szCs w:val="24"/>
        </w:rPr>
        <w:t xml:space="preserve"> current implementation of entry bans exposes significant structural weaknesses, mainly because broad executive discretion is not </w:t>
      </w:r>
      <w:r w:rsidR="000F69C0">
        <w:rPr>
          <w:rFonts w:ascii="Book Antiqua" w:eastAsia="Book Antiqua" w:hAnsi="Book Antiqua" w:cs="Book Antiqua"/>
          <w:sz w:val="24"/>
          <w:szCs w:val="24"/>
        </w:rPr>
        <w:t>match</w:t>
      </w:r>
      <w:r w:rsidR="000F69C0" w:rsidRPr="000F69C0">
        <w:rPr>
          <w:rFonts w:ascii="Book Antiqua" w:eastAsia="Book Antiqua" w:hAnsi="Book Antiqua" w:cs="Book Antiqua"/>
          <w:sz w:val="24"/>
          <w:szCs w:val="24"/>
        </w:rPr>
        <w:t xml:space="preserve">ed by independent judicial counterbalances. Under Law No. 6 of 2011, Government Regulation No. 31 of 2013, and Minister of Law and Human Rights Regulation No. 34 of 2021, Indonesia’s entry-ban mechanism often fails to fully accommodate basic procedural safeguards (due process of law). This </w:t>
      </w:r>
      <w:r w:rsidR="000F69C0">
        <w:rPr>
          <w:rFonts w:ascii="Book Antiqua" w:eastAsia="Book Antiqua" w:hAnsi="Book Antiqua" w:cs="Book Antiqua"/>
          <w:sz w:val="24"/>
          <w:szCs w:val="24"/>
        </w:rPr>
        <w:t>is</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evident</w:t>
      </w:r>
      <w:r w:rsidR="000F69C0" w:rsidRPr="000F69C0">
        <w:rPr>
          <w:rFonts w:ascii="Book Antiqua" w:eastAsia="Book Antiqua" w:hAnsi="Book Antiqua" w:cs="Book Antiqua"/>
          <w:sz w:val="24"/>
          <w:szCs w:val="24"/>
        </w:rPr>
        <w:t xml:space="preserve"> </w:t>
      </w:r>
      <w:r w:rsidR="000F69C0">
        <w:rPr>
          <w:rFonts w:ascii="Book Antiqua" w:eastAsia="Book Antiqua" w:hAnsi="Book Antiqua" w:cs="Book Antiqua"/>
          <w:sz w:val="24"/>
          <w:szCs w:val="24"/>
        </w:rPr>
        <w:t>in</w:t>
      </w:r>
      <w:r w:rsidR="000F69C0" w:rsidRPr="000F69C0">
        <w:rPr>
          <w:rFonts w:ascii="Book Antiqua" w:eastAsia="Book Antiqua" w:hAnsi="Book Antiqua" w:cs="Book Antiqua"/>
          <w:sz w:val="24"/>
          <w:szCs w:val="24"/>
        </w:rPr>
        <w:t xml:space="preserve"> the absence of a statutory duty to transparently inform affected persons of the specific reasons for their ban and </w:t>
      </w:r>
      <w:r w:rsidR="000F69C0">
        <w:rPr>
          <w:rFonts w:ascii="Book Antiqua" w:eastAsia="Book Antiqua" w:hAnsi="Book Antiqua" w:cs="Book Antiqua"/>
          <w:sz w:val="24"/>
          <w:szCs w:val="24"/>
        </w:rPr>
        <w:t>in</w:t>
      </w:r>
      <w:r w:rsidRPr="000F69C0">
        <w:rPr>
          <w:rFonts w:ascii="Book Antiqua" w:eastAsia="Book Antiqua" w:hAnsi="Book Antiqua" w:cs="Book Antiqua"/>
          <w:sz w:val="24"/>
          <w:szCs w:val="24"/>
        </w:rPr>
        <w:t xml:space="preserve"> the lack of dedicated administrative or judicial channels through which objections or appeals may be formally submitted.</w:t>
      </w:r>
    </w:p>
    <w:p w:rsidR="006F25A1" w:rsidRPr="000F69C0" w:rsidRDefault="00EC24BA">
      <w:pPr>
        <w:tabs>
          <w:tab w:val="left" w:pos="461"/>
        </w:tabs>
        <w:spacing w:before="240" w:after="240" w:line="276" w:lineRule="auto"/>
        <w:rPr>
          <w:rFonts w:ascii="Book Antiqua" w:eastAsia="Book Antiqua" w:hAnsi="Book Antiqua" w:cs="Book Antiqua"/>
          <w:sz w:val="24"/>
          <w:szCs w:val="24"/>
        </w:rPr>
      </w:pPr>
      <w:r w:rsidRPr="000F69C0">
        <w:rPr>
          <w:rFonts w:ascii="Book Antiqua" w:eastAsia="Book Antiqua" w:hAnsi="Book Antiqua" w:cs="Book Antiqua"/>
          <w:sz w:val="24"/>
          <w:szCs w:val="24"/>
        </w:rPr>
        <w:tab/>
        <w:t>By contrast, the United Kingdom offers a constrained-sovereignty model regulated by the Immigration Act 1971, the UK B</w:t>
      </w:r>
      <w:r w:rsidRPr="000F69C0">
        <w:rPr>
          <w:rFonts w:ascii="Book Antiqua" w:eastAsia="Book Antiqua" w:hAnsi="Book Antiqua" w:cs="Book Antiqua"/>
          <w:sz w:val="24"/>
          <w:szCs w:val="24"/>
        </w:rPr>
        <w:t>orders Act 2007, and the Borders, Citizenship and Immigration Act 2009. Although the Secretary of State for the Home Department has wide discretionary authority to refuse entry to foreign nationals on public-good grounds, that authority is subject to stron</w:t>
      </w:r>
      <w:r w:rsidRPr="000F69C0">
        <w:rPr>
          <w:rFonts w:ascii="Book Antiqua" w:eastAsia="Book Antiqua" w:hAnsi="Book Antiqua" w:cs="Book Antiqua"/>
          <w:sz w:val="24"/>
          <w:szCs w:val="24"/>
        </w:rPr>
        <w:t>g checks through a multi-layered judicial oversight system consisting of the First-tier Tribunal and the speciali</w:t>
      </w:r>
      <w:r w:rsidR="000F69C0">
        <w:rPr>
          <w:rFonts w:ascii="Book Antiqua" w:eastAsia="Book Antiqua" w:hAnsi="Book Antiqua" w:cs="Book Antiqua"/>
          <w:sz w:val="24"/>
          <w:szCs w:val="24"/>
        </w:rPr>
        <w:t>s</w:t>
      </w:r>
      <w:r w:rsidRPr="000F69C0">
        <w:rPr>
          <w:rFonts w:ascii="Book Antiqua" w:eastAsia="Book Antiqua" w:hAnsi="Book Antiqua" w:cs="Book Antiqua"/>
          <w:sz w:val="24"/>
          <w:szCs w:val="24"/>
        </w:rPr>
        <w:t>ed Special Immigration Appeals Commission (SIAC). In addition, the incorporation of the Human Rights Act 1998 and Article 8 of the European Co</w:t>
      </w:r>
      <w:r w:rsidRPr="000F69C0">
        <w:rPr>
          <w:rFonts w:ascii="Book Antiqua" w:eastAsia="Book Antiqua" w:hAnsi="Book Antiqua" w:cs="Book Antiqua"/>
          <w:sz w:val="24"/>
          <w:szCs w:val="24"/>
        </w:rPr>
        <w:t>nvention on Human Rights (ECHR) requires a strict proportionality assessment, so immigration decisions do not arbitrarily interfere with a person’s right to private and family life. Operationally, the two countries face different implementation problems: I</w:t>
      </w:r>
      <w:r w:rsidRPr="000F69C0">
        <w:rPr>
          <w:rFonts w:ascii="Book Antiqua" w:eastAsia="Book Antiqua" w:hAnsi="Book Antiqua" w:cs="Book Antiqua"/>
          <w:sz w:val="24"/>
          <w:szCs w:val="24"/>
        </w:rPr>
        <w:t>ndonesia continues to struggle with weak inter-agency coordination, synchroni</w:t>
      </w:r>
      <w:r w:rsidR="000F69C0">
        <w:rPr>
          <w:rFonts w:ascii="Book Antiqua" w:eastAsia="Book Antiqua" w:hAnsi="Book Antiqua" w:cs="Book Antiqua"/>
          <w:sz w:val="24"/>
          <w:szCs w:val="24"/>
        </w:rPr>
        <w:t>s</w:t>
      </w:r>
      <w:r w:rsidRPr="000F69C0">
        <w:rPr>
          <w:rFonts w:ascii="Book Antiqua" w:eastAsia="Book Antiqua" w:hAnsi="Book Antiqua" w:cs="Book Antiqua"/>
          <w:sz w:val="24"/>
          <w:szCs w:val="24"/>
        </w:rPr>
        <w:t>ation, and data verification among the National Police, the State Intelligence Agency (BIN), and the Ministry of Foreign Affairs, while the United Kingdom faces the delicate syst</w:t>
      </w:r>
      <w:r w:rsidRPr="000F69C0">
        <w:rPr>
          <w:rFonts w:ascii="Book Antiqua" w:eastAsia="Book Antiqua" w:hAnsi="Book Antiqua" w:cs="Book Antiqua"/>
          <w:sz w:val="24"/>
          <w:szCs w:val="24"/>
        </w:rPr>
        <w:t>emic task of balancing state-intelligence confidentiality against the right to a fair trial in SIAC’s closed proceedings.</w:t>
      </w:r>
    </w:p>
    <w:p w:rsidR="006F25A1" w:rsidRPr="000F69C0" w:rsidRDefault="00F343C6">
      <w:pPr>
        <w:tabs>
          <w:tab w:val="left" w:pos="461"/>
        </w:tabs>
        <w:spacing w:before="240" w:after="240" w:line="276" w:lineRule="auto"/>
        <w:rPr>
          <w:rFonts w:ascii="Book Antiqua" w:eastAsia="Book Antiqua" w:hAnsi="Book Antiqua" w:cs="Book Antiqua"/>
          <w:sz w:val="24"/>
          <w:szCs w:val="24"/>
        </w:rPr>
      </w:pPr>
      <w:r>
        <w:rPr>
          <w:rFonts w:ascii="Book Antiqua" w:eastAsia="Book Antiqua" w:hAnsi="Book Antiqua" w:cs="Book Antiqua"/>
          <w:noProof/>
          <w:sz w:val="24"/>
          <w:szCs w:val="24"/>
        </w:rPr>
        <w:lastRenderedPageBreak/>
        <mc:AlternateContent>
          <mc:Choice Requires="wps">
            <w:drawing>
              <wp:anchor distT="0" distB="0" distL="114300" distR="114300" simplePos="0" relativeHeight="251677696" behindDoc="0" locked="0" layoutInCell="1" allowOverlap="1" wp14:anchorId="4D76269C" wp14:editId="48B41998">
                <wp:simplePos x="0" y="0"/>
                <wp:positionH relativeFrom="column">
                  <wp:posOffset>5588000</wp:posOffset>
                </wp:positionH>
                <wp:positionV relativeFrom="paragraph">
                  <wp:posOffset>-384175</wp:posOffset>
                </wp:positionV>
                <wp:extent cx="417689" cy="383822"/>
                <wp:effectExtent l="0" t="0" r="1905" b="0"/>
                <wp:wrapNone/>
                <wp:docPr id="14" name="Text Box 14"/>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4" o:spid="_x0000_s1035" type="#_x0000_t202" style="position:absolute;left:0;text-align:left;margin-left:440pt;margin-top:-30.25pt;width:32.9pt;height:3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uICRQIAAIEEAAAOAAAAZHJzL2Uyb0RvYy54bWysVE2P2jAQvVfqf7B8L+FrWYgIK8qKqhLa&#13;&#10;XQmqPRvHJpEcj2sbEvrrO3YIy257qnox45mX55k3M8wfmkqRk7CuBJ3RQa9PidAc8lIfMvpjt/4y&#13;&#10;pcR5pnOmQIuMnoWjD4vPn+a1ScUQClC5sARJtEtrk9HCe5MmieOFqJjrgREagxJsxTxe7SHJLauR&#13;&#10;vVLJsN+fJDXY3Fjgwjn0PrZBuoj8Ugrun6V0whOVUczNx9PGcx/OZDFn6cEyU5T8kgb7hywqVmp8&#13;&#10;9Er1yDwjR1v+QVWV3IID6XscqgSkLLmINWA1g/6HarYFMyLWguI4c5XJ/T9a/nR6saTMsXdjSjSr&#13;&#10;sEc70XjyFRqCLtSnNi5F2NYg0DfoR2znd+gMZTfSVuEXCyIYR6XPV3UDG0fneHA/mc4o4RgaTUfT&#13;&#10;4TCwJG8fG+v8NwEVCUZGLTYvaspOG+dbaAcJbzlQZb4ulYqXMDBipSw5MWy18jFFJH+HUprUGZ2M&#13;&#10;7vqRWEP4vGVWGnMJpbYlBcs3+yZKM+vK3UN+RhUstHPkDF+XmOuGOf/CLA4OFo7L4J/xkArwLbhY&#13;&#10;lBRgf/3NH/DYT4xSUuMgZtT9PDIrKFHfNXZ6NhiPw+TGy/jufogXexvZ30b0sVoBCjDAtTM8mgHv&#13;&#10;VWdKC9Ur7swyvIohpjm+nVHfmSvfrgfuHBfLZQThrBrmN3preKAOgodO7JpXZs2lXR77/ATdyLL0&#13;&#10;Q9dabPhSw/LoQZaxpUHnVtWL/DjncSguOxkW6fYeUW//HIvfAAAA//8DAFBLAwQUAAYACAAAACEA&#13;&#10;QMawyuQAAAAOAQAADwAAAGRycy9kb3ducmV2LnhtbEyPy07DMBBF90j8gzVIbFDrlJI2pHEqxFNi&#13;&#10;R1NA7Nx4SCLicRS7Sfh7hhVsRprXvfdk28m2YsDeN44ULOYRCKTSmYYqBfviYZaA8EGT0a0jVPCN&#13;&#10;Hrb56UmmU+NGesFhFyrBIuRTraAOoUul9GWNVvu565B49+l6qwO3fSVNr0cWt628jKKVtLohdqh1&#13;&#10;h7c1ll+7o1XwcVG9P/vp8XVcxsvu/mko1m+mUOr8bLrbcLnZgAg4hb8P+GXg/JBzsIM7kvGiVZAk&#13;&#10;EQMFBbNVFIPgi+urmIkOPFmAzDP5HyP/AQAA//8DAFBLAQItABQABgAIAAAAIQC2gziS/gAAAOEB&#13;&#10;AAATAAAAAAAAAAAAAAAAAAAAAABbQ29udGVudF9UeXBlc10ueG1sUEsBAi0AFAAGAAgAAAAhADj9&#13;&#10;If/WAAAAlAEAAAsAAAAAAAAAAAAAAAAALwEAAF9yZWxzLy5yZWxzUEsBAi0AFAAGAAgAAAAhAMGO&#13;&#10;4gJFAgAAgQQAAA4AAAAAAAAAAAAAAAAALgIAAGRycy9lMm9Eb2MueG1sUEsBAi0AFAAGAAgAAAAh&#13;&#10;AEDGsMrkAAAADgEAAA8AAAAAAAAAAAAAAAAAnwQAAGRycy9kb3ducmV2LnhtbFBLBQYAAAAABAAE&#13;&#10;APMAAACwBQ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37</w:t>
                      </w:r>
                    </w:p>
                  </w:txbxContent>
                </v:textbox>
              </v:shape>
            </w:pict>
          </mc:Fallback>
        </mc:AlternateContent>
      </w:r>
      <w:r w:rsidR="00EC24BA" w:rsidRPr="000F69C0">
        <w:rPr>
          <w:rFonts w:ascii="Book Antiqua" w:eastAsia="Book Antiqua" w:hAnsi="Book Antiqua" w:cs="Book Antiqua"/>
          <w:sz w:val="24"/>
          <w:szCs w:val="24"/>
        </w:rPr>
        <w:tab/>
        <w:t xml:space="preserve">Therefore, to address these serious deficiencies in transparency and accountability without </w:t>
      </w:r>
      <w:r w:rsidR="000F69C0">
        <w:rPr>
          <w:rFonts w:ascii="Book Antiqua" w:eastAsia="Book Antiqua" w:hAnsi="Book Antiqua" w:cs="Book Antiqua"/>
          <w:sz w:val="24"/>
          <w:szCs w:val="24"/>
        </w:rPr>
        <w:t>undermining</w:t>
      </w:r>
      <w:r w:rsidR="00EC24BA" w:rsidRPr="000F69C0">
        <w:rPr>
          <w:rFonts w:ascii="Book Antiqua" w:eastAsia="Book Antiqua" w:hAnsi="Book Antiqua" w:cs="Book Antiqua"/>
          <w:sz w:val="24"/>
          <w:szCs w:val="24"/>
        </w:rPr>
        <w:t xml:space="preserve"> national </w:t>
      </w:r>
      <w:r w:rsidR="00EC24BA" w:rsidRPr="000F69C0">
        <w:rPr>
          <w:rFonts w:ascii="Book Antiqua" w:eastAsia="Book Antiqua" w:hAnsi="Book Antiqua" w:cs="Book Antiqua"/>
          <w:sz w:val="24"/>
          <w:szCs w:val="24"/>
        </w:rPr>
        <w:t xml:space="preserve">sovereignty, Indonesia needs comprehensive regulatory reform in its immigration system. This legal transformation should focus on firmly embedding the </w:t>
      </w:r>
      <w:r w:rsidR="000F69C0">
        <w:rPr>
          <w:rFonts w:ascii="Book Antiqua" w:eastAsia="Book Antiqua" w:hAnsi="Book Antiqua" w:cs="Book Antiqua"/>
          <w:sz w:val="24"/>
          <w:szCs w:val="24"/>
        </w:rPr>
        <w:t xml:space="preserve">principle of </w:t>
      </w:r>
      <w:r w:rsidR="00EC24BA" w:rsidRPr="000F69C0">
        <w:rPr>
          <w:rFonts w:ascii="Book Antiqua" w:eastAsia="Book Antiqua" w:hAnsi="Book Antiqua" w:cs="Book Antiqua"/>
          <w:sz w:val="24"/>
          <w:szCs w:val="24"/>
        </w:rPr>
        <w:t xml:space="preserve">due process of law </w:t>
      </w:r>
      <w:r w:rsidR="00EC24BA" w:rsidRPr="000F69C0">
        <w:rPr>
          <w:rFonts w:ascii="Book Antiqua" w:eastAsia="Book Antiqua" w:hAnsi="Book Antiqua" w:cs="Book Antiqua"/>
          <w:sz w:val="24"/>
          <w:szCs w:val="24"/>
        </w:rPr>
        <w:t>into Indonesian positive law</w:t>
      </w:r>
      <w:r w:rsidR="00EC24BA" w:rsidRPr="000F69C0">
        <w:rPr>
          <w:rFonts w:ascii="Book Antiqua" w:eastAsia="Book Antiqua" w:hAnsi="Book Antiqua" w:cs="Book Antiqua"/>
          <w:sz w:val="24"/>
          <w:szCs w:val="24"/>
        </w:rPr>
        <w:t>, one practical way being the establishment of a</w:t>
      </w:r>
      <w:r w:rsidR="00EC24BA" w:rsidRPr="000F69C0">
        <w:rPr>
          <w:rFonts w:ascii="Book Antiqua" w:eastAsia="Book Antiqua" w:hAnsi="Book Antiqua" w:cs="Book Antiqua"/>
          <w:sz w:val="24"/>
          <w:szCs w:val="24"/>
        </w:rPr>
        <w:t>n independent immigration tribunal inspired by the UK’s SIAC model. The government also needs to codify transparent administrative procedures for submitting objections and requesting removal from deterrence lists, while expressly integrating proportionalit</w:t>
      </w:r>
      <w:r w:rsidR="00EC24BA" w:rsidRPr="000F69C0">
        <w:rPr>
          <w:rFonts w:ascii="Book Antiqua" w:eastAsia="Book Antiqua" w:hAnsi="Book Antiqua" w:cs="Book Antiqua"/>
          <w:sz w:val="24"/>
          <w:szCs w:val="24"/>
        </w:rPr>
        <w:t>y into every immigration decision-making process. By improving institutional capacity and training immigration officers on international human rights standards, Indonesia can align the enforcement of territorial sovereignty with the universal principles of</w:t>
      </w:r>
      <w:r w:rsidR="00EC24BA" w:rsidRPr="000F69C0">
        <w:rPr>
          <w:rFonts w:ascii="Book Antiqua" w:eastAsia="Book Antiqua" w:hAnsi="Book Antiqua" w:cs="Book Antiqua"/>
          <w:sz w:val="24"/>
          <w:szCs w:val="24"/>
        </w:rPr>
        <w:t xml:space="preserve"> a fair, transparent, and accountable constitutional state.</w:t>
      </w:r>
    </w:p>
    <w:p w:rsidR="006F25A1" w:rsidRPr="000F69C0" w:rsidRDefault="006F25A1">
      <w:pPr>
        <w:spacing w:after="0" w:line="276" w:lineRule="auto"/>
        <w:ind w:firstLine="567"/>
        <w:rPr>
          <w:rFonts w:ascii="Book Antiqua" w:eastAsia="Book Antiqua" w:hAnsi="Book Antiqua" w:cs="Book Antiqua"/>
          <w:sz w:val="24"/>
          <w:szCs w:val="24"/>
        </w:rPr>
      </w:pPr>
    </w:p>
    <w:p w:rsidR="006F25A1" w:rsidRPr="000F69C0" w:rsidRDefault="00EC24BA">
      <w:pPr>
        <w:pStyle w:val="Heading1"/>
        <w:numPr>
          <w:ilvl w:val="0"/>
          <w:numId w:val="1"/>
        </w:numPr>
        <w:tabs>
          <w:tab w:val="left" w:pos="461"/>
        </w:tabs>
        <w:spacing w:line="276" w:lineRule="auto"/>
        <w:ind w:right="122"/>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References </w:t>
      </w:r>
    </w:p>
    <w:p w:rsidR="006F25A1" w:rsidRPr="000F69C0" w:rsidRDefault="006F25A1" w:rsidP="00F343C6">
      <w:pPr>
        <w:pStyle w:val="Heading1"/>
        <w:tabs>
          <w:tab w:val="left" w:pos="461"/>
        </w:tabs>
        <w:spacing w:line="276" w:lineRule="auto"/>
        <w:ind w:left="0" w:right="122" w:firstLine="0"/>
        <w:rPr>
          <w:rFonts w:ascii="Book Antiqua" w:eastAsia="Book Antiqua" w:hAnsi="Book Antiqua" w:cs="Book Antiqua"/>
          <w:sz w:val="24"/>
          <w:szCs w:val="24"/>
        </w:rPr>
      </w:pPr>
    </w:p>
    <w:p w:rsidR="000F69C0" w:rsidRPr="000F69C0" w:rsidRDefault="000F69C0"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Abdullah, F. "</w:t>
      </w:r>
      <w:proofErr w:type="spellStart"/>
      <w:r w:rsidRPr="000F69C0">
        <w:rPr>
          <w:rFonts w:ascii="Book Antiqua" w:eastAsia="Book Antiqua" w:hAnsi="Book Antiqua" w:cs="Book Antiqua"/>
          <w:sz w:val="24"/>
          <w:szCs w:val="24"/>
        </w:rPr>
        <w:t>Rekonstruksi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Regulasi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Pelayanan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Jasa</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Keimigrasian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Berbasis</w:t>
      </w:r>
      <w:proofErr w:type="spellEnd"/>
      <w:r w:rsidRPr="000F69C0">
        <w:rPr>
          <w:rFonts w:ascii="Book Antiqua" w:eastAsia="Book Antiqua" w:hAnsi="Book Antiqua" w:cs="Book Antiqua"/>
          <w:sz w:val="24"/>
          <w:szCs w:val="24"/>
        </w:rPr>
        <w:t xml:space="preserve"> Nilai </w:t>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Keadilan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Studi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tentang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Regulasi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Pelayanan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Jasa</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Keimigrasian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pada</w:t>
      </w:r>
      <w:proofErr w:type="spellEnd"/>
      <w:r w:rsidRPr="000F69C0">
        <w:rPr>
          <w:rFonts w:ascii="Book Antiqua" w:eastAsia="Book Antiqua" w:hAnsi="Book Antiqua" w:cs="Book Antiqua"/>
          <w:sz w:val="24"/>
          <w:szCs w:val="24"/>
        </w:rPr>
        <w:t xml:space="preserve"> Kantor </w:t>
      </w:r>
      <w:r>
        <w:rPr>
          <w:rFonts w:ascii="Book Antiqua" w:eastAsia="Book Antiqua" w:hAnsi="Book Antiqua" w:cs="Book Antiqua"/>
          <w:sz w:val="24"/>
          <w:szCs w:val="24"/>
        </w:rPr>
        <w:tab/>
      </w:r>
      <w:r>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Imigrasi</w:t>
      </w:r>
      <w:proofErr w:type="spellEnd"/>
      <w:r w:rsidRPr="000F69C0">
        <w:rPr>
          <w:rFonts w:ascii="Book Antiqua" w:eastAsia="Book Antiqua" w:hAnsi="Book Antiqua" w:cs="Book Antiqua"/>
          <w:sz w:val="24"/>
          <w:szCs w:val="24"/>
        </w:rPr>
        <w:t xml:space="preserve"> Kelas II TPI </w:t>
      </w:r>
      <w:proofErr w:type="spellStart"/>
      <w:r w:rsidRPr="000F69C0">
        <w:rPr>
          <w:rFonts w:ascii="Book Antiqua" w:eastAsia="Book Antiqua" w:hAnsi="Book Antiqua" w:cs="Book Antiqua"/>
          <w:sz w:val="24"/>
          <w:szCs w:val="24"/>
        </w:rPr>
        <w:t>Sibolga</w:t>
      </w:r>
      <w:proofErr w:type="spellEnd"/>
      <w:r w:rsidRPr="000F69C0">
        <w:rPr>
          <w:rFonts w:ascii="Book Antiqua" w:eastAsia="Book Antiqua" w:hAnsi="Book Antiqua" w:cs="Book Antiqua"/>
          <w:sz w:val="24"/>
          <w:szCs w:val="24"/>
        </w:rPr>
        <w:t xml:space="preserve">, Sumatera Utara)." </w:t>
      </w:r>
      <w:proofErr w:type="spellStart"/>
      <w:r w:rsidRPr="000F69C0">
        <w:rPr>
          <w:rFonts w:ascii="Book Antiqua" w:eastAsia="Book Antiqua" w:hAnsi="Book Antiqua" w:cs="Book Antiqua"/>
          <w:sz w:val="24"/>
          <w:szCs w:val="24"/>
        </w:rPr>
        <w:t>Disertasi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Doktoral</w:t>
      </w:r>
      <w:proofErr w:type="spellEnd"/>
      <w:r w:rsidRPr="000F69C0">
        <w:rPr>
          <w:rFonts w:ascii="Book Antiqua" w:eastAsia="Book Antiqua" w:hAnsi="Book Antiqua" w:cs="Book Antiqua"/>
          <w:sz w:val="24"/>
          <w:szCs w:val="24"/>
        </w:rPr>
        <w:t xml:space="preserve">, </w:t>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Universitas</w:t>
      </w:r>
      <w:proofErr w:type="spellEnd"/>
      <w:r w:rsidRPr="000F69C0">
        <w:rPr>
          <w:rFonts w:ascii="Book Antiqua" w:eastAsia="Book Antiqua" w:hAnsi="Book Antiqua" w:cs="Book Antiqua"/>
          <w:sz w:val="24"/>
          <w:szCs w:val="24"/>
        </w:rPr>
        <w:t xml:space="preserve"> Islam Sultan Agung, 2022.</w:t>
      </w:r>
    </w:p>
    <w:p w:rsidR="000F69C0" w:rsidRPr="000F69C0" w:rsidRDefault="000F69C0" w:rsidP="00F343C6">
      <w:pPr>
        <w:tabs>
          <w:tab w:val="left" w:pos="461"/>
        </w:tabs>
        <w:ind w:left="720"/>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Agusman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Damos</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Dumoli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i/>
          <w:iCs/>
          <w:sz w:val="24"/>
          <w:szCs w:val="24"/>
        </w:rPr>
        <w:t>Hukum</w:t>
      </w:r>
      <w:proofErr w:type="spellEnd"/>
      <w:r w:rsidRPr="000F69C0">
        <w:rPr>
          <w:rFonts w:ascii="Book Antiqua" w:eastAsia="Book Antiqua" w:hAnsi="Book Antiqua" w:cs="Book Antiqua"/>
          <w:i/>
          <w:iCs/>
          <w:sz w:val="24"/>
          <w:szCs w:val="24"/>
        </w:rPr>
        <w:t xml:space="preserve"> </w:t>
      </w:r>
      <w:proofErr w:type="spellStart"/>
      <w:r w:rsidRPr="000F69C0">
        <w:rPr>
          <w:rFonts w:ascii="Book Antiqua" w:eastAsia="Book Antiqua" w:hAnsi="Book Antiqua" w:cs="Book Antiqua"/>
          <w:i/>
          <w:iCs/>
          <w:sz w:val="24"/>
          <w:szCs w:val="24"/>
        </w:rPr>
        <w:t>Perjanjian</w:t>
      </w:r>
      <w:proofErr w:type="spellEnd"/>
      <w:r w:rsidRPr="000F69C0">
        <w:rPr>
          <w:rFonts w:ascii="Book Antiqua" w:eastAsia="Book Antiqua" w:hAnsi="Book Antiqua" w:cs="Book Antiqua"/>
          <w:i/>
          <w:iCs/>
          <w:sz w:val="24"/>
          <w:szCs w:val="24"/>
        </w:rPr>
        <w:t xml:space="preserve"> </w:t>
      </w:r>
      <w:proofErr w:type="spellStart"/>
      <w:r w:rsidRPr="000F69C0">
        <w:rPr>
          <w:rFonts w:ascii="Book Antiqua" w:eastAsia="Book Antiqua" w:hAnsi="Book Antiqua" w:cs="Book Antiqua"/>
          <w:i/>
          <w:iCs/>
          <w:sz w:val="24"/>
          <w:szCs w:val="24"/>
        </w:rPr>
        <w:t>Internasional</w:t>
      </w:r>
      <w:proofErr w:type="spellEnd"/>
      <w:r w:rsidRPr="000F69C0">
        <w:rPr>
          <w:rFonts w:ascii="Book Antiqua" w:eastAsia="Book Antiqua" w:hAnsi="Book Antiqua" w:cs="Book Antiqua"/>
          <w:i/>
          <w:iCs/>
          <w:sz w:val="24"/>
          <w:szCs w:val="24"/>
        </w:rPr>
        <w:t xml:space="preserve">: Kajian </w:t>
      </w:r>
      <w:proofErr w:type="spellStart"/>
      <w:r w:rsidRPr="000F69C0">
        <w:rPr>
          <w:rFonts w:ascii="Book Antiqua" w:eastAsia="Book Antiqua" w:hAnsi="Book Antiqua" w:cs="Book Antiqua"/>
          <w:i/>
          <w:iCs/>
          <w:sz w:val="24"/>
          <w:szCs w:val="24"/>
        </w:rPr>
        <w:t>Teori</w:t>
      </w:r>
      <w:proofErr w:type="spellEnd"/>
      <w:r w:rsidRPr="000F69C0">
        <w:rPr>
          <w:rFonts w:ascii="Book Antiqua" w:eastAsia="Book Antiqua" w:hAnsi="Book Antiqua" w:cs="Book Antiqua"/>
          <w:i/>
          <w:iCs/>
          <w:sz w:val="24"/>
          <w:szCs w:val="24"/>
        </w:rPr>
        <w:t xml:space="preserve"> </w:t>
      </w:r>
      <w:proofErr w:type="spellStart"/>
      <w:r w:rsidRPr="000F69C0">
        <w:rPr>
          <w:rFonts w:ascii="Book Antiqua" w:eastAsia="Book Antiqua" w:hAnsi="Book Antiqua" w:cs="Book Antiqua"/>
          <w:i/>
          <w:iCs/>
          <w:sz w:val="24"/>
          <w:szCs w:val="24"/>
        </w:rPr>
        <w:t>dan</w:t>
      </w:r>
      <w:proofErr w:type="spellEnd"/>
      <w:r w:rsidRPr="000F69C0">
        <w:rPr>
          <w:rFonts w:ascii="Book Antiqua" w:eastAsia="Book Antiqua" w:hAnsi="Book Antiqua" w:cs="Book Antiqua"/>
          <w:i/>
          <w:iCs/>
          <w:sz w:val="24"/>
          <w:szCs w:val="24"/>
        </w:rPr>
        <w:t xml:space="preserve"> </w:t>
      </w:r>
      <w:proofErr w:type="spellStart"/>
      <w:r w:rsidRPr="000F69C0">
        <w:rPr>
          <w:rFonts w:ascii="Book Antiqua" w:eastAsia="Book Antiqua" w:hAnsi="Book Antiqua" w:cs="Book Antiqua"/>
          <w:i/>
          <w:iCs/>
          <w:sz w:val="24"/>
          <w:szCs w:val="24"/>
        </w:rPr>
        <w:t>Praktik</w:t>
      </w:r>
      <w:proofErr w:type="spellEnd"/>
      <w:r w:rsidRPr="000F69C0">
        <w:rPr>
          <w:rFonts w:ascii="Book Antiqua" w:eastAsia="Book Antiqua" w:hAnsi="Book Antiqua" w:cs="Book Antiqua"/>
          <w:i/>
          <w:iCs/>
          <w:sz w:val="24"/>
          <w:szCs w:val="24"/>
        </w:rPr>
        <w:t xml:space="preserve"> </w:t>
      </w:r>
      <w:r>
        <w:rPr>
          <w:rFonts w:ascii="Book Antiqua" w:eastAsia="Book Antiqua" w:hAnsi="Book Antiqua" w:cs="Book Antiqua"/>
          <w:i/>
          <w:iCs/>
          <w:sz w:val="24"/>
          <w:szCs w:val="24"/>
        </w:rPr>
        <w:tab/>
      </w:r>
      <w:r w:rsidRPr="000F69C0">
        <w:rPr>
          <w:rFonts w:ascii="Book Antiqua" w:eastAsia="Book Antiqua" w:hAnsi="Book Antiqua" w:cs="Book Antiqua"/>
          <w:i/>
          <w:iCs/>
          <w:sz w:val="24"/>
          <w:szCs w:val="24"/>
        </w:rPr>
        <w:t>Indonesia</w:t>
      </w:r>
      <w:r w:rsidRPr="000F69C0">
        <w:rPr>
          <w:rFonts w:ascii="Book Antiqua" w:eastAsia="Book Antiqua" w:hAnsi="Book Antiqua" w:cs="Book Antiqua"/>
          <w:sz w:val="24"/>
          <w:szCs w:val="24"/>
        </w:rPr>
        <w:t>. Bandung: Refika Aditama, 2010.</w:t>
      </w:r>
    </w:p>
    <w:p w:rsidR="000F69C0" w:rsidRPr="000F69C0" w:rsidRDefault="000F69C0" w:rsidP="00F343C6">
      <w:pPr>
        <w:tabs>
          <w:tab w:val="left" w:pos="461"/>
        </w:tabs>
        <w:spacing w:before="240" w:after="240"/>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Alston, Philip, and Ryan Goodman. International Human Rights: The Successor to </w:t>
      </w:r>
      <w:r>
        <w:rPr>
          <w:rFonts w:ascii="Book Antiqua" w:eastAsia="Book Antiqua" w:hAnsi="Book Antiqua" w:cs="Book Antiqua"/>
          <w:sz w:val="24"/>
          <w:szCs w:val="24"/>
        </w:rPr>
        <w:tab/>
      </w:r>
      <w:r>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International Human Rights in Context. Oxford: Oxford University Press, </w:t>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r w:rsidRPr="000F69C0">
        <w:rPr>
          <w:rFonts w:ascii="Book Antiqua" w:eastAsia="Book Antiqua" w:hAnsi="Book Antiqua" w:cs="Book Antiqua"/>
          <w:sz w:val="24"/>
          <w:szCs w:val="24"/>
        </w:rPr>
        <w:t>2013.</w:t>
      </w:r>
    </w:p>
    <w:p w:rsidR="000F69C0" w:rsidRPr="000F69C0" w:rsidRDefault="000F69C0" w:rsidP="00F343C6">
      <w:pPr>
        <w:tabs>
          <w:tab w:val="left" w:pos="461"/>
        </w:tabs>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Galang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Syafta</w:t>
      </w:r>
      <w:proofErr w:type="spellEnd"/>
      <w:r w:rsidRPr="000F69C0">
        <w:rPr>
          <w:rFonts w:ascii="Book Antiqua" w:eastAsia="Book Antiqua" w:hAnsi="Book Antiqua" w:cs="Book Antiqua"/>
          <w:sz w:val="24"/>
          <w:szCs w:val="24"/>
        </w:rPr>
        <w:t>, A. "</w:t>
      </w:r>
      <w:proofErr w:type="spellStart"/>
      <w:r w:rsidRPr="000F69C0">
        <w:rPr>
          <w:rFonts w:ascii="Book Antiqua" w:eastAsia="Book Antiqua" w:hAnsi="Book Antiqua" w:cs="Book Antiqua"/>
          <w:sz w:val="24"/>
          <w:szCs w:val="24"/>
        </w:rPr>
        <w:t>Rekonstruksi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Gugatan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Warga</w:t>
      </w:r>
      <w:proofErr w:type="spellEnd"/>
      <w:r w:rsidRPr="000F69C0">
        <w:rPr>
          <w:rFonts w:ascii="Book Antiqua" w:eastAsia="Book Antiqua" w:hAnsi="Book Antiqua" w:cs="Book Antiqua"/>
          <w:sz w:val="24"/>
          <w:szCs w:val="24"/>
        </w:rPr>
        <w:t xml:space="preserve"> Negara (Citizen Lawsuit) </w:t>
      </w:r>
      <w:proofErr w:type="spellStart"/>
      <w:r w:rsidRPr="000F69C0">
        <w:rPr>
          <w:rFonts w:ascii="Book Antiqua" w:eastAsia="Book Antiqua" w:hAnsi="Book Antiqua" w:cs="Book Antiqua"/>
          <w:sz w:val="24"/>
          <w:szCs w:val="24"/>
        </w:rPr>
        <w:t>dalam</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Mewujudkan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Keadilan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Bermartabat</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Disertasi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Universitas</w:t>
      </w:r>
      <w:proofErr w:type="spellEnd"/>
      <w:r w:rsidRPr="000F69C0">
        <w:rPr>
          <w:rFonts w:ascii="Book Antiqua" w:eastAsia="Book Antiqua" w:hAnsi="Book Antiqua" w:cs="Book Antiqua"/>
          <w:sz w:val="24"/>
          <w:szCs w:val="24"/>
        </w:rPr>
        <w:t xml:space="preserve"> Lampung,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2026.  </w:t>
      </w:r>
      <w:r w:rsidR="00F343C6">
        <w:rPr>
          <w:rFonts w:ascii="Book Antiqua" w:eastAsia="Book Antiqua" w:hAnsi="Book Antiqua" w:cs="Book Antiqua"/>
          <w:sz w:val="24"/>
          <w:szCs w:val="24"/>
        </w:rPr>
        <w:tab/>
      </w:r>
    </w:p>
    <w:p w:rsidR="000F69C0" w:rsidRPr="000F69C0" w:rsidRDefault="000F69C0" w:rsidP="00F343C6">
      <w:pPr>
        <w:tabs>
          <w:tab w:val="left" w:pos="461"/>
        </w:tabs>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Kathrani</w:t>
      </w:r>
      <w:proofErr w:type="spellEnd"/>
      <w:r w:rsidRPr="000F69C0">
        <w:rPr>
          <w:rFonts w:ascii="Book Antiqua" w:eastAsia="Book Antiqua" w:hAnsi="Book Antiqua" w:cs="Book Antiqua"/>
          <w:sz w:val="24"/>
          <w:szCs w:val="24"/>
        </w:rPr>
        <w:t xml:space="preserve">, Paresh. "Immigration and the Rule of Law." </w:t>
      </w:r>
      <w:r w:rsidRPr="000F69C0">
        <w:rPr>
          <w:rFonts w:ascii="Book Antiqua" w:eastAsia="Book Antiqua" w:hAnsi="Book Antiqua" w:cs="Book Antiqua"/>
          <w:i/>
          <w:iCs/>
          <w:sz w:val="24"/>
          <w:szCs w:val="24"/>
        </w:rPr>
        <w:t>Journal of Immigration,</w:t>
      </w:r>
      <w:r w:rsidR="00F343C6">
        <w:rPr>
          <w:rFonts w:ascii="Book Antiqua" w:eastAsia="Book Antiqua" w:hAnsi="Book Antiqua" w:cs="Book Antiqua"/>
          <w:i/>
          <w:iCs/>
          <w:sz w:val="24"/>
          <w:szCs w:val="24"/>
        </w:rPr>
        <w:tab/>
      </w:r>
      <w:r w:rsidR="00F343C6">
        <w:rPr>
          <w:rFonts w:ascii="Book Antiqua" w:eastAsia="Book Antiqua" w:hAnsi="Book Antiqua" w:cs="Book Antiqua"/>
          <w:i/>
          <w:iCs/>
          <w:sz w:val="24"/>
          <w:szCs w:val="24"/>
        </w:rPr>
        <w:tab/>
      </w:r>
      <w:r w:rsidR="00F343C6">
        <w:rPr>
          <w:rFonts w:ascii="Book Antiqua" w:eastAsia="Book Antiqua" w:hAnsi="Book Antiqua" w:cs="Book Antiqua"/>
          <w:i/>
          <w:iCs/>
          <w:sz w:val="24"/>
          <w:szCs w:val="24"/>
        </w:rPr>
        <w:tab/>
      </w:r>
      <w:r w:rsidRPr="000F69C0">
        <w:rPr>
          <w:rFonts w:ascii="Book Antiqua" w:eastAsia="Book Antiqua" w:hAnsi="Book Antiqua" w:cs="Book Antiqua"/>
          <w:i/>
          <w:iCs/>
          <w:sz w:val="24"/>
          <w:szCs w:val="24"/>
        </w:rPr>
        <w:t xml:space="preserve"> Asylum and Nationality Law</w:t>
      </w:r>
      <w:r w:rsidRPr="000F69C0">
        <w:rPr>
          <w:rFonts w:ascii="Book Antiqua" w:eastAsia="Book Antiqua" w:hAnsi="Book Antiqua" w:cs="Book Antiqua"/>
          <w:sz w:val="24"/>
          <w:szCs w:val="24"/>
        </w:rPr>
        <w:t xml:space="preserve"> 25, no. 3 (2011): 240-258. </w:t>
      </w:r>
    </w:p>
    <w:p w:rsidR="000F69C0" w:rsidRPr="000F69C0" w:rsidRDefault="000F69C0" w:rsidP="00F343C6">
      <w:pPr>
        <w:tabs>
          <w:tab w:val="left" w:pos="461"/>
        </w:tabs>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Machmudi</w:t>
      </w:r>
      <w:proofErr w:type="spellEnd"/>
      <w:r w:rsidRPr="000F69C0">
        <w:rPr>
          <w:rFonts w:ascii="Book Antiqua" w:eastAsia="Book Antiqua" w:hAnsi="Book Antiqua" w:cs="Book Antiqua"/>
          <w:sz w:val="24"/>
          <w:szCs w:val="24"/>
        </w:rPr>
        <w:t>, M. "</w:t>
      </w:r>
      <w:proofErr w:type="spellStart"/>
      <w:r w:rsidRPr="000F69C0">
        <w:rPr>
          <w:rFonts w:ascii="Book Antiqua" w:eastAsia="Book Antiqua" w:hAnsi="Book Antiqua" w:cs="Book Antiqua"/>
          <w:sz w:val="24"/>
          <w:szCs w:val="24"/>
        </w:rPr>
        <w:t>Efektifitas</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Penegakan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Hukum</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Keimigrasian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dalam</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Tinjauan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Pelaksanaan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Tindakan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Administratif</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Keimigrasian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Pemidanaan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Studi</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Kasus</w:t>
      </w:r>
      <w:proofErr w:type="spellEnd"/>
      <w:r w:rsidRPr="000F69C0">
        <w:rPr>
          <w:rFonts w:ascii="Book Antiqua" w:eastAsia="Book Antiqua" w:hAnsi="Book Antiqua" w:cs="Book Antiqua"/>
          <w:sz w:val="24"/>
          <w:szCs w:val="24"/>
        </w:rPr>
        <w:t xml:space="preserve">: Kantor </w:t>
      </w:r>
      <w:proofErr w:type="spellStart"/>
      <w:r w:rsidRPr="000F69C0">
        <w:rPr>
          <w:rFonts w:ascii="Book Antiqua" w:eastAsia="Book Antiqua" w:hAnsi="Book Antiqua" w:cs="Book Antiqua"/>
          <w:sz w:val="24"/>
          <w:szCs w:val="24"/>
        </w:rPr>
        <w:t>Imigrasi</w:t>
      </w:r>
      <w:proofErr w:type="spellEnd"/>
      <w:r w:rsidRPr="000F69C0">
        <w:rPr>
          <w:rFonts w:ascii="Book Antiqua" w:eastAsia="Book Antiqua" w:hAnsi="Book Antiqua" w:cs="Book Antiqua"/>
          <w:sz w:val="24"/>
          <w:szCs w:val="24"/>
        </w:rPr>
        <w:t xml:space="preserve"> Kelas I </w:t>
      </w:r>
      <w:proofErr w:type="spellStart"/>
      <w:r w:rsidRPr="000F69C0">
        <w:rPr>
          <w:rFonts w:ascii="Book Antiqua" w:eastAsia="Book Antiqua" w:hAnsi="Book Antiqua" w:cs="Book Antiqua"/>
          <w:sz w:val="24"/>
          <w:szCs w:val="24"/>
        </w:rPr>
        <w:t>Khusus</w:t>
      </w:r>
      <w:proofErr w:type="spellEnd"/>
      <w:r w:rsidRPr="000F69C0">
        <w:rPr>
          <w:rFonts w:ascii="Book Antiqua" w:eastAsia="Book Antiqua" w:hAnsi="Book Antiqua" w:cs="Book Antiqua"/>
          <w:sz w:val="24"/>
          <w:szCs w:val="24"/>
        </w:rPr>
        <w:t xml:space="preserve"> TPI Semarang)." </w:t>
      </w:r>
      <w:proofErr w:type="spellStart"/>
      <w:r w:rsidRPr="000F69C0">
        <w:rPr>
          <w:rFonts w:ascii="Book Antiqua" w:eastAsia="Book Antiqua" w:hAnsi="Book Antiqua" w:cs="Book Antiqua"/>
          <w:sz w:val="24"/>
          <w:szCs w:val="24"/>
        </w:rPr>
        <w:t>Disertasi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Doktoral</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Universitas</w:t>
      </w:r>
      <w:proofErr w:type="spellEnd"/>
      <w:r w:rsidRPr="000F69C0">
        <w:rPr>
          <w:rFonts w:ascii="Book Antiqua" w:eastAsia="Book Antiqua" w:hAnsi="Book Antiqua" w:cs="Book Antiqua"/>
          <w:sz w:val="24"/>
          <w:szCs w:val="24"/>
        </w:rPr>
        <w:t xml:space="preserve"> Islam Sultan Agung Semarang, 2025. </w:t>
      </w:r>
    </w:p>
    <w:p w:rsidR="000F69C0" w:rsidRPr="000F69C0" w:rsidRDefault="000F69C0" w:rsidP="00F343C6">
      <w:pPr>
        <w:tabs>
          <w:tab w:val="left" w:pos="461"/>
        </w:tabs>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Prameswari</w:t>
      </w:r>
      <w:proofErr w:type="spellEnd"/>
      <w:r w:rsidRPr="000F69C0">
        <w:rPr>
          <w:rFonts w:ascii="Book Antiqua" w:eastAsia="Book Antiqua" w:hAnsi="Book Antiqua" w:cs="Book Antiqua"/>
          <w:sz w:val="24"/>
          <w:szCs w:val="24"/>
        </w:rPr>
        <w:t xml:space="preserve">, R.,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R. </w:t>
      </w:r>
      <w:proofErr w:type="spellStart"/>
      <w:r w:rsidRPr="000F69C0">
        <w:rPr>
          <w:rFonts w:ascii="Book Antiqua" w:eastAsia="Book Antiqua" w:hAnsi="Book Antiqua" w:cs="Book Antiqua"/>
          <w:sz w:val="24"/>
          <w:szCs w:val="24"/>
        </w:rPr>
        <w:t>Galingging</w:t>
      </w:r>
      <w:proofErr w:type="spellEnd"/>
      <w:r w:rsidRPr="000F69C0">
        <w:rPr>
          <w:rFonts w:ascii="Book Antiqua" w:eastAsia="Book Antiqua" w:hAnsi="Book Antiqua" w:cs="Book Antiqua"/>
          <w:sz w:val="24"/>
          <w:szCs w:val="24"/>
        </w:rPr>
        <w:t>. "</w:t>
      </w:r>
      <w:proofErr w:type="spellStart"/>
      <w:r w:rsidRPr="000F69C0">
        <w:rPr>
          <w:rFonts w:ascii="Book Antiqua" w:eastAsia="Book Antiqua" w:hAnsi="Book Antiqua" w:cs="Book Antiqua"/>
          <w:sz w:val="24"/>
          <w:szCs w:val="24"/>
        </w:rPr>
        <w:t>Pengakuan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Pelindungan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Suku</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Awyu</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Moi </w:t>
      </w:r>
      <w:proofErr w:type="spellStart"/>
      <w:r w:rsidRPr="000F69C0">
        <w:rPr>
          <w:rFonts w:ascii="Book Antiqua" w:eastAsia="Book Antiqua" w:hAnsi="Book Antiqua" w:cs="Book Antiqua"/>
          <w:sz w:val="24"/>
          <w:szCs w:val="24"/>
        </w:rPr>
        <w:t>Menurut</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Perspektif</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Undang-Undang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Nomor</w:t>
      </w:r>
      <w:proofErr w:type="spellEnd"/>
      <w:r w:rsidRPr="000F69C0">
        <w:rPr>
          <w:rFonts w:ascii="Book Antiqua" w:eastAsia="Book Antiqua" w:hAnsi="Book Antiqua" w:cs="Book Antiqua"/>
          <w:sz w:val="24"/>
          <w:szCs w:val="24"/>
        </w:rPr>
        <w:t xml:space="preserve"> 12 </w:t>
      </w:r>
      <w:proofErr w:type="spellStart"/>
      <w:r w:rsidRPr="000F69C0">
        <w:rPr>
          <w:rFonts w:ascii="Book Antiqua" w:eastAsia="Book Antiqua" w:hAnsi="Book Antiqua" w:cs="Book Antiqua"/>
          <w:sz w:val="24"/>
          <w:szCs w:val="24"/>
        </w:rPr>
        <w:t>Tahun</w:t>
      </w:r>
      <w:proofErr w:type="spellEnd"/>
      <w:r w:rsidRPr="000F69C0">
        <w:rPr>
          <w:rFonts w:ascii="Book Antiqua" w:eastAsia="Book Antiqua" w:hAnsi="Book Antiqua" w:cs="Book Antiqua"/>
          <w:sz w:val="24"/>
          <w:szCs w:val="24"/>
        </w:rPr>
        <w:t xml:space="preserve"> 2005 </w:t>
      </w:r>
      <w:proofErr w:type="spellStart"/>
      <w:r w:rsidRPr="000F69C0">
        <w:rPr>
          <w:rFonts w:ascii="Book Antiqua" w:eastAsia="Book Antiqua" w:hAnsi="Book Antiqua" w:cs="Book Antiqua"/>
          <w:sz w:val="24"/>
          <w:szCs w:val="24"/>
        </w:rPr>
        <w:t>tentang</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Pengesahan</w:t>
      </w:r>
      <w:proofErr w:type="spellEnd"/>
      <w:r w:rsidRPr="000F69C0">
        <w:rPr>
          <w:rFonts w:ascii="Book Antiqua" w:eastAsia="Book Antiqua" w:hAnsi="Book Antiqua" w:cs="Book Antiqua"/>
          <w:sz w:val="24"/>
          <w:szCs w:val="24"/>
        </w:rPr>
        <w:t xml:space="preserve"> International Covenant on Civil and Political Rights (</w:t>
      </w:r>
      <w:proofErr w:type="spellStart"/>
      <w:r w:rsidRPr="000F69C0">
        <w:rPr>
          <w:rFonts w:ascii="Book Antiqua" w:eastAsia="Book Antiqua" w:hAnsi="Book Antiqua" w:cs="Book Antiqua"/>
          <w:sz w:val="24"/>
          <w:szCs w:val="24"/>
        </w:rPr>
        <w:t>Kovenan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noProof/>
          <w:sz w:val="24"/>
          <w:szCs w:val="24"/>
        </w:rPr>
        <w:lastRenderedPageBreak/>
        <mc:AlternateContent>
          <mc:Choice Requires="wps">
            <w:drawing>
              <wp:anchor distT="0" distB="0" distL="114300" distR="114300" simplePos="0" relativeHeight="251679744" behindDoc="0" locked="0" layoutInCell="1" allowOverlap="1" wp14:anchorId="4D76269C" wp14:editId="48B41998">
                <wp:simplePos x="0" y="0"/>
                <wp:positionH relativeFrom="column">
                  <wp:posOffset>5497195</wp:posOffset>
                </wp:positionH>
                <wp:positionV relativeFrom="paragraph">
                  <wp:posOffset>-477661</wp:posOffset>
                </wp:positionV>
                <wp:extent cx="417689" cy="383822"/>
                <wp:effectExtent l="0" t="0" r="1905" b="0"/>
                <wp:wrapNone/>
                <wp:docPr id="16" name="Text Box 16"/>
                <wp:cNvGraphicFramePr/>
                <a:graphic xmlns:a="http://schemas.openxmlformats.org/drawingml/2006/main">
                  <a:graphicData uri="http://schemas.microsoft.com/office/word/2010/wordprocessingShape">
                    <wps:wsp>
                      <wps:cNvSpPr txBox="1"/>
                      <wps:spPr>
                        <a:xfrm>
                          <a:off x="0" y="0"/>
                          <a:ext cx="417689" cy="383822"/>
                        </a:xfrm>
                        <a:prstGeom prst="rect">
                          <a:avLst/>
                        </a:prstGeom>
                        <a:solidFill>
                          <a:schemeClr val="lt1"/>
                        </a:solidFill>
                        <a:ln w="6350">
                          <a:noFill/>
                        </a:ln>
                      </wps:spPr>
                      <wps:txb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269C" id="Text Box 16" o:spid="_x0000_s1036" type="#_x0000_t202" style="position:absolute;left:0;text-align:left;margin-left:432.85pt;margin-top:-37.6pt;width:32.9pt;height:3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scUQwIAAIIEAAAOAAAAZHJzL2Uyb0RvYy54bWysVE1vGjEQvVfqf7B8L8tXCFmxRJSIqhJK&#13;&#10;IkGVs/HaYMnrcW3DLv31HXv5StpT1YsZz7x9nnkzw+SxqTQ5COcVmIL2Ol1KhOFQKrMt6I/14suY&#13;&#10;Eh+YKZkGIwp6FJ4+Tj9/mtQ2F33YgS6FI0hifF7bgu5CsHmWeb4TFfMdsMJgUIKrWMCr22alYzWy&#13;&#10;Vzrrd7ujrAZXWgdceI/epzZIp4lfSsHDi5ReBKILirmFdLp0buKZTScs3zpmd4qf0mD/kEXFlMFH&#13;&#10;L1RPLDCyd+oPqkpxBx5k6HCoMpBScZFqwGp63Q/VrHbMilQLiuPtRSb//2j58+HVEVVi70aUGFZh&#13;&#10;j9aiCeQrNARdqE9tfY6wlUVgaNCP2LPfozOW3UhXxV8siGAclT5e1I1sHJ3D3v1o/EAJx9BgPBj3&#13;&#10;+5Elu35snQ/fBFQkGgV12LykKTssfWihZ0h8y4NW5UJpnS5xYMRcO3Jg2GodUopI/g6lDakLOhrc&#13;&#10;dROxgfh5y6wN5hJLbUuKVmg2TStNmpPo2kB5RBkctIPkLV8oTHbJfHhlDicHK8dtCC94SA34GJws&#13;&#10;Snbgfv3NH/HYUIxSUuMkFtT/3DMnKNHfDbb6oTccxtFNl+HdfR8v7jayuY2YfTUHVKCHe2d5MiM+&#13;&#10;6LMpHVRvuDSz+CqGmOH4dkHD2ZyHdj9w6biYzRIIh9WysDQryyN1VDy2Yt28MWdP/QrY6Gc4zyzL&#13;&#10;P7StxcYvDcz2AaRKPb2qetIfBz1NxWkp4ybd3hPq+tcx/Q0AAP//AwBQSwMEFAAGAAgAAAAhAEb9&#13;&#10;epLmAAAAEAEAAA8AAABkcnMvZG93bnJldi54bWxMT01Pg0AQvZv4HzZj4sW0C0UKUpbG+Jl4s7Qa&#13;&#10;b1t2BSI7S9gt4L93POllkpn35n3k29l0bNSDay0KCJcBMI2VVS3WAvbl4yIF5rxEJTuLWsC3drAt&#13;&#10;zs9ymSk74ased75mJIIukwIa7/uMc1c12ki3tL1Gwj7tYKSndai5GuRE4qbjqyBYcyNbJIdG9vqu&#13;&#10;0dXX7mQEfFzV7y9ufjpMURz1D89jmbypUojLi/l+Q+N2A8zr2f99wG8Hyg8FBTvaEyrHOgHpOk6I&#13;&#10;KmCRxCtgxLiJwhjYkS7hdQq8yPn/IsUPAAAA//8DAFBLAQItABQABgAIAAAAIQC2gziS/gAAAOEB&#13;&#10;AAATAAAAAAAAAAAAAAAAAAAAAABbQ29udGVudF9UeXBlc10ueG1sUEsBAi0AFAAGAAgAAAAhADj9&#13;&#10;If/WAAAAlAEAAAsAAAAAAAAAAAAAAAAALwEAAF9yZWxzLy5yZWxzUEsBAi0AFAAGAAgAAAAhAGk2&#13;&#10;xxRDAgAAggQAAA4AAAAAAAAAAAAAAAAALgIAAGRycy9lMm9Eb2MueG1sUEsBAi0AFAAGAAgAAAAh&#13;&#10;AEb9epLmAAAAEAEAAA8AAAAAAAAAAAAAAAAAnQQAAGRycy9kb3ducmV2LnhtbFBLBQYAAAAABAAE&#13;&#10;APMAAACwBQAAAAA=&#13;&#10;" fillcolor="white [3201]" stroked="f" strokeweight=".5pt">
                <v:textbox>
                  <w:txbxContent>
                    <w:p w:rsidR="00F343C6" w:rsidRPr="00F343C6" w:rsidRDefault="00F343C6" w:rsidP="00F343C6">
                      <w:pPr>
                        <w:rPr>
                          <w:rFonts w:ascii="Bookman Old Style" w:hAnsi="Bookman Old Style"/>
                          <w:sz w:val="24"/>
                          <w:szCs w:val="24"/>
                          <w:lang w:val="en-US"/>
                        </w:rPr>
                      </w:pPr>
                      <w:r>
                        <w:rPr>
                          <w:rFonts w:ascii="Bookman Old Style" w:hAnsi="Bookman Old Style"/>
                          <w:sz w:val="24"/>
                          <w:szCs w:val="24"/>
                          <w:lang w:val="en-US"/>
                        </w:rPr>
                        <w:t>38</w:t>
                      </w:r>
                    </w:p>
                  </w:txbxContent>
                </v:textbox>
              </v:shape>
            </w:pict>
          </mc:Fallback>
        </mc:AlternateConten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Internasional</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tentang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Hak-Hak</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Sipil</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Politik</w:t>
      </w:r>
      <w:proofErr w:type="spellEnd"/>
      <w:r w:rsidRPr="000F69C0">
        <w:rPr>
          <w:rFonts w:ascii="Book Antiqua" w:eastAsia="Book Antiqua" w:hAnsi="Book Antiqua" w:cs="Book Antiqua"/>
          <w:sz w:val="24"/>
          <w:szCs w:val="24"/>
        </w:rPr>
        <w:t xml:space="preserve">)." </w:t>
      </w:r>
      <w:r w:rsidRPr="000F69C0">
        <w:rPr>
          <w:rFonts w:ascii="Book Antiqua" w:eastAsia="Book Antiqua" w:hAnsi="Book Antiqua" w:cs="Book Antiqua"/>
          <w:i/>
          <w:iCs/>
          <w:sz w:val="24"/>
          <w:szCs w:val="24"/>
        </w:rPr>
        <w:t xml:space="preserve">ADIL: </w:t>
      </w:r>
      <w:proofErr w:type="spellStart"/>
      <w:r w:rsidRPr="000F69C0">
        <w:rPr>
          <w:rFonts w:ascii="Book Antiqua" w:eastAsia="Book Antiqua" w:hAnsi="Book Antiqua" w:cs="Book Antiqua"/>
          <w:i/>
          <w:iCs/>
          <w:sz w:val="24"/>
          <w:szCs w:val="24"/>
        </w:rPr>
        <w:t>Jurnal</w:t>
      </w:r>
      <w:proofErr w:type="spellEnd"/>
      <w:r w:rsidRPr="000F69C0">
        <w:rPr>
          <w:rFonts w:ascii="Book Antiqua" w:eastAsia="Book Antiqua" w:hAnsi="Book Antiqua" w:cs="Book Antiqua"/>
          <w:i/>
          <w:iCs/>
          <w:sz w:val="24"/>
          <w:szCs w:val="24"/>
        </w:rPr>
        <w:t xml:space="preserve"> </w:t>
      </w:r>
      <w:proofErr w:type="spellStart"/>
      <w:r w:rsidRPr="000F69C0">
        <w:rPr>
          <w:rFonts w:ascii="Book Antiqua" w:eastAsia="Book Antiqua" w:hAnsi="Book Antiqua" w:cs="Book Antiqua"/>
          <w:i/>
          <w:iCs/>
          <w:sz w:val="24"/>
          <w:szCs w:val="24"/>
        </w:rPr>
        <w:t>Hukum</w:t>
      </w:r>
      <w:proofErr w:type="spellEnd"/>
      <w:r w:rsidRPr="000F69C0">
        <w:rPr>
          <w:rFonts w:ascii="Book Antiqua" w:eastAsia="Book Antiqua" w:hAnsi="Book Antiqua" w:cs="Book Antiqua"/>
          <w:sz w:val="24"/>
          <w:szCs w:val="24"/>
        </w:rPr>
        <w:t xml:space="preserve"> 16,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no. 1 </w:t>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(2025): 131-156. </w:t>
      </w:r>
    </w:p>
    <w:p w:rsidR="000F69C0" w:rsidRDefault="000F69C0" w:rsidP="00F343C6">
      <w:pPr>
        <w:tabs>
          <w:tab w:val="left" w:pos="461"/>
        </w:tabs>
        <w:spacing w:before="240" w:after="240"/>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Sefriani</w:t>
      </w:r>
      <w:proofErr w:type="spellEnd"/>
      <w:r w:rsidRPr="000F69C0">
        <w:rPr>
          <w:rFonts w:ascii="Book Antiqua" w:eastAsia="Book Antiqua" w:hAnsi="Book Antiqua" w:cs="Book Antiqua"/>
          <w:sz w:val="24"/>
          <w:szCs w:val="24"/>
        </w:rPr>
        <w:t xml:space="preserve">. Hukum Internasional: Suatu Pengantar. Jakarta: PT </w:t>
      </w:r>
      <w:proofErr w:type="spellStart"/>
      <w:r w:rsidRPr="000F69C0">
        <w:rPr>
          <w:rFonts w:ascii="Book Antiqua" w:eastAsia="Book Antiqua" w:hAnsi="Book Antiqua" w:cs="Book Antiqua"/>
          <w:sz w:val="24"/>
          <w:szCs w:val="24"/>
        </w:rPr>
        <w:t>RajaGrafindo</w:t>
      </w:r>
      <w:proofErr w:type="spellEnd"/>
      <w:r w:rsidRPr="000F69C0">
        <w:rPr>
          <w:rFonts w:ascii="Book Antiqua" w:eastAsia="Book Antiqua" w:hAnsi="Book Antiqua" w:cs="Book Antiqua"/>
          <w:sz w:val="24"/>
          <w:szCs w:val="24"/>
        </w:rPr>
        <w:t xml:space="preserve"> </w:t>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r>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Persada</w:t>
      </w:r>
      <w:proofErr w:type="spellEnd"/>
      <w:r w:rsidRPr="000F69C0">
        <w:rPr>
          <w:rFonts w:ascii="Book Antiqua" w:eastAsia="Book Antiqua" w:hAnsi="Book Antiqua" w:cs="Book Antiqua"/>
          <w:sz w:val="24"/>
          <w:szCs w:val="24"/>
        </w:rPr>
        <w:t>, 2021.</w:t>
      </w:r>
    </w:p>
    <w:p w:rsidR="000F69C0" w:rsidRPr="000F69C0" w:rsidRDefault="000F69C0" w:rsidP="00F343C6">
      <w:pPr>
        <w:tabs>
          <w:tab w:val="left" w:pos="461"/>
        </w:tabs>
        <w:ind w:left="708"/>
        <w:rPr>
          <w:rFonts w:ascii="Book Antiqua" w:eastAsia="Book Antiqua" w:hAnsi="Book Antiqua" w:cs="Book Antiqua"/>
          <w:sz w:val="24"/>
          <w:szCs w:val="24"/>
        </w:rPr>
      </w:pPr>
      <w:proofErr w:type="spellStart"/>
      <w:r w:rsidRPr="000F69C0">
        <w:rPr>
          <w:rFonts w:ascii="Book Antiqua" w:eastAsia="Book Antiqua" w:hAnsi="Book Antiqua" w:cs="Book Antiqua"/>
          <w:sz w:val="24"/>
          <w:szCs w:val="24"/>
        </w:rPr>
        <w:t>Syahrin</w:t>
      </w:r>
      <w:proofErr w:type="spellEnd"/>
      <w:r w:rsidRPr="000F69C0">
        <w:rPr>
          <w:rFonts w:ascii="Book Antiqua" w:eastAsia="Book Antiqua" w:hAnsi="Book Antiqua" w:cs="Book Antiqua"/>
          <w:sz w:val="24"/>
          <w:szCs w:val="24"/>
        </w:rPr>
        <w:t xml:space="preserve">, M. </w:t>
      </w:r>
      <w:proofErr w:type="spellStart"/>
      <w:r w:rsidRPr="000F69C0">
        <w:rPr>
          <w:rFonts w:ascii="Book Antiqua" w:eastAsia="Book Antiqua" w:hAnsi="Book Antiqua" w:cs="Book Antiqua"/>
          <w:sz w:val="24"/>
          <w:szCs w:val="24"/>
        </w:rPr>
        <w:t>Alvi</w:t>
      </w:r>
      <w:proofErr w:type="spellEnd"/>
      <w:r w:rsidRPr="000F69C0">
        <w:rPr>
          <w:rFonts w:ascii="Book Antiqua" w:eastAsia="Book Antiqua" w:hAnsi="Book Antiqua" w:cs="Book Antiqua"/>
          <w:sz w:val="24"/>
          <w:szCs w:val="24"/>
        </w:rPr>
        <w:t>. "</w:t>
      </w:r>
      <w:proofErr w:type="spellStart"/>
      <w:r w:rsidRPr="000F69C0">
        <w:rPr>
          <w:rFonts w:ascii="Book Antiqua" w:eastAsia="Book Antiqua" w:hAnsi="Book Antiqua" w:cs="Book Antiqua"/>
          <w:sz w:val="24"/>
          <w:szCs w:val="24"/>
        </w:rPr>
        <w:t>Politik</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Hukum</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Keimigrasian</w:t>
      </w:r>
      <w:proofErr w:type="spellEnd"/>
      <w:r w:rsidRPr="000F69C0">
        <w:rPr>
          <w:rFonts w:ascii="Book Antiqua" w:eastAsia="Book Antiqua" w:hAnsi="Book Antiqua" w:cs="Book Antiqua"/>
          <w:sz w:val="24"/>
          <w:szCs w:val="24"/>
        </w:rPr>
        <w:t xml:space="preserve"> Indonesia: </w:t>
      </w:r>
      <w:proofErr w:type="spellStart"/>
      <w:r w:rsidRPr="000F69C0">
        <w:rPr>
          <w:rFonts w:ascii="Book Antiqua" w:eastAsia="Book Antiqua" w:hAnsi="Book Antiqua" w:cs="Book Antiqua"/>
          <w:sz w:val="24"/>
          <w:szCs w:val="24"/>
        </w:rPr>
        <w:t>Studi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Pendekatan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Sejarah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Kontemporer</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Neliti</w:t>
      </w:r>
      <w:proofErr w:type="spellEnd"/>
      <w:r w:rsidRPr="000F69C0">
        <w:rPr>
          <w:rFonts w:ascii="Book Antiqua" w:eastAsia="Book Antiqua" w:hAnsi="Book Antiqua" w:cs="Book Antiqua"/>
          <w:sz w:val="24"/>
          <w:szCs w:val="24"/>
        </w:rPr>
        <w:t xml:space="preserve"> Research Repository (2019): 3–7.</w:t>
      </w:r>
    </w:p>
    <w:p w:rsidR="00F343C6" w:rsidRDefault="000F69C0"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Wray, Helena. "“A Thing Apart”: Controlling Irregular Male Family Migrants in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the UK." Men and Masculinities 18, no. 4 (2015): 424–447.</w:t>
      </w:r>
    </w:p>
    <w:p w:rsidR="006F25A1" w:rsidRPr="00F343C6"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Council of Europe. Convention for the Protection </w:t>
      </w:r>
      <w:r w:rsidRPr="000F69C0">
        <w:rPr>
          <w:rFonts w:ascii="Book Antiqua" w:eastAsia="Book Antiqua" w:hAnsi="Book Antiqua" w:cs="Book Antiqua"/>
          <w:sz w:val="24"/>
          <w:szCs w:val="24"/>
        </w:rPr>
        <w:t xml:space="preserve">of Human Rights and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Fundamental Freedoms (European Convention on Human Rights). Rome,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1950.</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Indonesia. </w:t>
      </w:r>
      <w:proofErr w:type="spellStart"/>
      <w:r w:rsidRPr="000F69C0">
        <w:rPr>
          <w:rFonts w:ascii="Book Antiqua" w:eastAsia="Book Antiqua" w:hAnsi="Book Antiqua" w:cs="Book Antiqua"/>
          <w:sz w:val="24"/>
          <w:szCs w:val="24"/>
        </w:rPr>
        <w:t>Peraturan</w:t>
      </w:r>
      <w:proofErr w:type="spellEnd"/>
      <w:r w:rsidRPr="000F69C0">
        <w:rPr>
          <w:rFonts w:ascii="Book Antiqua" w:eastAsia="Book Antiqua" w:hAnsi="Book Antiqua" w:cs="Book Antiqua"/>
          <w:sz w:val="24"/>
          <w:szCs w:val="24"/>
        </w:rPr>
        <w:t xml:space="preserve"> Menteri </w:t>
      </w:r>
      <w:proofErr w:type="spellStart"/>
      <w:r w:rsidRPr="000F69C0">
        <w:rPr>
          <w:rFonts w:ascii="Book Antiqua" w:eastAsia="Book Antiqua" w:hAnsi="Book Antiqua" w:cs="Book Antiqua"/>
          <w:sz w:val="24"/>
          <w:szCs w:val="24"/>
        </w:rPr>
        <w:t>Hukum</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dan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Hak</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Asas</w:t>
      </w:r>
      <w:bookmarkStart w:id="7" w:name="_GoBack"/>
      <w:bookmarkEnd w:id="7"/>
      <w:r w:rsidRPr="000F69C0">
        <w:rPr>
          <w:rFonts w:ascii="Book Antiqua" w:eastAsia="Book Antiqua" w:hAnsi="Book Antiqua" w:cs="Book Antiqua"/>
          <w:sz w:val="24"/>
          <w:szCs w:val="24"/>
        </w:rPr>
        <w:t>i</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Manusia</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Nomor</w:t>
      </w:r>
      <w:proofErr w:type="spellEnd"/>
      <w:r w:rsidRPr="000F69C0">
        <w:rPr>
          <w:rFonts w:ascii="Book Antiqua" w:eastAsia="Book Antiqua" w:hAnsi="Book Antiqua" w:cs="Book Antiqua"/>
          <w:sz w:val="24"/>
          <w:szCs w:val="24"/>
        </w:rPr>
        <w:t xml:space="preserve"> 34 </w:t>
      </w:r>
      <w:proofErr w:type="spellStart"/>
      <w:r w:rsidRPr="000F69C0">
        <w:rPr>
          <w:rFonts w:ascii="Book Antiqua" w:eastAsia="Book Antiqua" w:hAnsi="Book Antiqua" w:cs="Book Antiqua"/>
          <w:sz w:val="24"/>
          <w:szCs w:val="24"/>
        </w:rPr>
        <w:t>Tahun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 xml:space="preserve">2021 </w:t>
      </w:r>
      <w:proofErr w:type="spellStart"/>
      <w:r w:rsidRPr="000F69C0">
        <w:rPr>
          <w:rFonts w:ascii="Book Antiqua" w:eastAsia="Book Antiqua" w:hAnsi="Book Antiqua" w:cs="Book Antiqua"/>
          <w:sz w:val="24"/>
          <w:szCs w:val="24"/>
        </w:rPr>
        <w:t>tentang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Penangkalan</w:t>
      </w:r>
      <w:proofErr w:type="spellEnd"/>
      <w:r w:rsidRPr="000F69C0">
        <w:rPr>
          <w:rFonts w:ascii="Book Antiqua" w:eastAsia="Book Antiqua" w:hAnsi="Book Antiqua" w:cs="Book Antiqua"/>
          <w:sz w:val="24"/>
          <w:szCs w:val="24"/>
        </w:rPr>
        <w:t>.</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Indonesia. </w:t>
      </w:r>
      <w:proofErr w:type="spellStart"/>
      <w:r w:rsidRPr="000F69C0">
        <w:rPr>
          <w:rFonts w:ascii="Book Antiqua" w:eastAsia="Book Antiqua" w:hAnsi="Book Antiqua" w:cs="Book Antiqua"/>
          <w:sz w:val="24"/>
          <w:szCs w:val="24"/>
        </w:rPr>
        <w:t>Peraturan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Pemerintah</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Nomor</w:t>
      </w:r>
      <w:proofErr w:type="spellEnd"/>
      <w:r w:rsidRPr="000F69C0">
        <w:rPr>
          <w:rFonts w:ascii="Book Antiqua" w:eastAsia="Book Antiqua" w:hAnsi="Book Antiqua" w:cs="Book Antiqua"/>
          <w:sz w:val="24"/>
          <w:szCs w:val="24"/>
        </w:rPr>
        <w:t xml:space="preserve"> 31 </w:t>
      </w:r>
      <w:proofErr w:type="spellStart"/>
      <w:r w:rsidRPr="000F69C0">
        <w:rPr>
          <w:rFonts w:ascii="Book Antiqua" w:eastAsia="Book Antiqua" w:hAnsi="Book Antiqua" w:cs="Book Antiqua"/>
          <w:sz w:val="24"/>
          <w:szCs w:val="24"/>
        </w:rPr>
        <w:t>Tahun</w:t>
      </w:r>
      <w:proofErr w:type="spellEnd"/>
      <w:r w:rsidRPr="000F69C0">
        <w:rPr>
          <w:rFonts w:ascii="Book Antiqua" w:eastAsia="Book Antiqua" w:hAnsi="Book Antiqua" w:cs="Book Antiqua"/>
          <w:sz w:val="24"/>
          <w:szCs w:val="24"/>
        </w:rPr>
        <w:t xml:space="preserve"> 2013 </w:t>
      </w:r>
      <w:proofErr w:type="spellStart"/>
      <w:r w:rsidRPr="000F69C0">
        <w:rPr>
          <w:rFonts w:ascii="Book Antiqua" w:eastAsia="Book Antiqua" w:hAnsi="Book Antiqua" w:cs="Book Antiqua"/>
          <w:sz w:val="24"/>
          <w:szCs w:val="24"/>
        </w:rPr>
        <w:t>tentang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Peratu</w:t>
      </w:r>
      <w:r w:rsidRPr="000F69C0">
        <w:rPr>
          <w:rFonts w:ascii="Book Antiqua" w:eastAsia="Book Antiqua" w:hAnsi="Book Antiqua" w:cs="Book Antiqua"/>
          <w:sz w:val="24"/>
          <w:szCs w:val="24"/>
        </w:rPr>
        <w:t>ran</w:t>
      </w:r>
      <w:proofErr w:type="spellEnd"/>
      <w:r w:rsidRPr="000F69C0">
        <w:rPr>
          <w:rFonts w:ascii="Book Antiqua" w:eastAsia="Book Antiqua" w:hAnsi="Book Antiqua" w:cs="Book Antiqua"/>
          <w:sz w:val="24"/>
          <w:szCs w:val="24"/>
        </w:rPr>
        <w:t xml:space="preserve">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Pelaksanaan</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Undang-Undang</w:t>
      </w:r>
      <w:proofErr w:type="spellEnd"/>
      <w:r w:rsidRPr="000F69C0">
        <w:rPr>
          <w:rFonts w:ascii="Book Antiqua" w:eastAsia="Book Antiqua" w:hAnsi="Book Antiqua" w:cs="Book Antiqua"/>
          <w:sz w:val="24"/>
          <w:szCs w:val="24"/>
        </w:rPr>
        <w:t xml:space="preserve"> </w:t>
      </w:r>
      <w:proofErr w:type="spellStart"/>
      <w:r w:rsidRPr="000F69C0">
        <w:rPr>
          <w:rFonts w:ascii="Book Antiqua" w:eastAsia="Book Antiqua" w:hAnsi="Book Antiqua" w:cs="Book Antiqua"/>
          <w:sz w:val="24"/>
          <w:szCs w:val="24"/>
        </w:rPr>
        <w:t>Nomor</w:t>
      </w:r>
      <w:proofErr w:type="spellEnd"/>
      <w:r w:rsidRPr="000F69C0">
        <w:rPr>
          <w:rFonts w:ascii="Book Antiqua" w:eastAsia="Book Antiqua" w:hAnsi="Book Antiqua" w:cs="Book Antiqua"/>
          <w:sz w:val="24"/>
          <w:szCs w:val="24"/>
        </w:rPr>
        <w:t xml:space="preserve"> 6 Tahun 2011 tentang Keimigrasian.</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Indonesia. Undang-Undang Dasar Negara Republik Indonesia Tahun 1945.</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Indonesia. Undang-Undang Nomor 6 Tahun 2011 tentang Keimigrasian. </w:t>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r w:rsidR="00F343C6">
        <w:rPr>
          <w:rFonts w:ascii="Book Antiqua" w:eastAsia="Book Antiqua" w:hAnsi="Book Antiqua" w:cs="Book Antiqua"/>
          <w:sz w:val="24"/>
          <w:szCs w:val="24"/>
        </w:rPr>
        <w:tab/>
      </w:r>
      <w:proofErr w:type="spellStart"/>
      <w:r w:rsidRPr="000F69C0">
        <w:rPr>
          <w:rFonts w:ascii="Book Antiqua" w:eastAsia="Book Antiqua" w:hAnsi="Book Antiqua" w:cs="Book Antiqua"/>
          <w:sz w:val="24"/>
          <w:szCs w:val="24"/>
        </w:rPr>
        <w:t>Lembaran</w:t>
      </w:r>
      <w:proofErr w:type="spellEnd"/>
      <w:r w:rsidRPr="000F69C0">
        <w:rPr>
          <w:rFonts w:ascii="Book Antiqua" w:eastAsia="Book Antiqua" w:hAnsi="Book Antiqua" w:cs="Book Antiqua"/>
          <w:sz w:val="24"/>
          <w:szCs w:val="24"/>
        </w:rPr>
        <w:t xml:space="preserve"> Negara </w:t>
      </w:r>
      <w:proofErr w:type="spellStart"/>
      <w:r w:rsidRPr="000F69C0">
        <w:rPr>
          <w:rFonts w:ascii="Book Antiqua" w:eastAsia="Book Antiqua" w:hAnsi="Book Antiqua" w:cs="Book Antiqua"/>
          <w:sz w:val="24"/>
          <w:szCs w:val="24"/>
        </w:rPr>
        <w:t>Republik</w:t>
      </w:r>
      <w:proofErr w:type="spellEnd"/>
      <w:r w:rsidRPr="000F69C0">
        <w:rPr>
          <w:rFonts w:ascii="Book Antiqua" w:eastAsia="Book Antiqua" w:hAnsi="Book Antiqua" w:cs="Book Antiqua"/>
          <w:sz w:val="24"/>
          <w:szCs w:val="24"/>
        </w:rPr>
        <w:t xml:space="preserve"> Indonesia Tahun 2011 </w:t>
      </w:r>
      <w:r w:rsidRPr="000F69C0">
        <w:rPr>
          <w:rFonts w:ascii="Book Antiqua" w:eastAsia="Book Antiqua" w:hAnsi="Book Antiqua" w:cs="Book Antiqua"/>
          <w:sz w:val="24"/>
          <w:szCs w:val="24"/>
        </w:rPr>
        <w:t>Nomor 52.</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United Kingdom. Borders, Citizenship and Immigration Act 2009. c. 11.</w:t>
      </w:r>
      <w:r w:rsidR="00F343C6">
        <w:rPr>
          <w:rFonts w:ascii="Book Antiqua" w:eastAsia="Book Antiqua" w:hAnsi="Book Antiqua" w:cs="Book Antiqua"/>
          <w:sz w:val="24"/>
          <w:szCs w:val="24"/>
        </w:rPr>
        <w:tab/>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United Kingdom. Human Rights Act 1998. c. 42.</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United Kingdom. Immigration Act 1971. c. 77.</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United Kingdom. Special Immigration Appeals Commission Act 1997. c. 68.</w:t>
      </w:r>
    </w:p>
    <w:p w:rsidR="006F25A1" w:rsidRPr="000F69C0" w:rsidRDefault="00EC24BA" w:rsidP="00F343C6">
      <w:pPr>
        <w:tabs>
          <w:tab w:val="left" w:pos="461"/>
        </w:tabs>
        <w:ind w:left="708"/>
        <w:rPr>
          <w:rFonts w:ascii="Book Antiqua" w:eastAsia="Book Antiqua" w:hAnsi="Book Antiqua" w:cs="Book Antiqua"/>
          <w:sz w:val="24"/>
          <w:szCs w:val="24"/>
        </w:rPr>
      </w:pPr>
      <w:r w:rsidRPr="000F69C0">
        <w:rPr>
          <w:rFonts w:ascii="Book Antiqua" w:eastAsia="Book Antiqua" w:hAnsi="Book Antiqua" w:cs="Book Antiqua"/>
          <w:sz w:val="24"/>
          <w:szCs w:val="24"/>
        </w:rPr>
        <w:t>United Kingdo</w:t>
      </w:r>
      <w:r w:rsidRPr="000F69C0">
        <w:rPr>
          <w:rFonts w:ascii="Book Antiqua" w:eastAsia="Book Antiqua" w:hAnsi="Book Antiqua" w:cs="Book Antiqua"/>
          <w:sz w:val="24"/>
          <w:szCs w:val="24"/>
        </w:rPr>
        <w:t>m. UK Borders Act 2007. c. 30.</w:t>
      </w:r>
    </w:p>
    <w:p w:rsidR="006F25A1" w:rsidRPr="000F69C0" w:rsidRDefault="00EC24BA" w:rsidP="00F343C6">
      <w:pPr>
        <w:tabs>
          <w:tab w:val="left" w:pos="461"/>
        </w:tabs>
        <w:ind w:left="720"/>
        <w:rPr>
          <w:rFonts w:ascii="Book Antiqua" w:eastAsia="Book Antiqua" w:hAnsi="Book Antiqua" w:cs="Book Antiqua"/>
          <w:sz w:val="24"/>
          <w:szCs w:val="24"/>
        </w:rPr>
      </w:pPr>
      <w:r w:rsidRPr="000F69C0">
        <w:rPr>
          <w:rFonts w:ascii="Book Antiqua" w:eastAsia="Book Antiqua" w:hAnsi="Book Antiqua" w:cs="Book Antiqua"/>
          <w:sz w:val="24"/>
          <w:szCs w:val="24"/>
        </w:rPr>
        <w:t xml:space="preserve">United Nations Human Rights Committee. General Comment No. 15: The Position </w:t>
      </w:r>
      <w:r w:rsidR="00F343C6">
        <w:rPr>
          <w:rFonts w:ascii="Book Antiqua" w:eastAsia="Book Antiqua" w:hAnsi="Book Antiqua" w:cs="Book Antiqua"/>
          <w:sz w:val="24"/>
          <w:szCs w:val="24"/>
        </w:rPr>
        <w:tab/>
      </w:r>
      <w:r w:rsidRPr="000F69C0">
        <w:rPr>
          <w:rFonts w:ascii="Book Antiqua" w:eastAsia="Book Antiqua" w:hAnsi="Book Antiqua" w:cs="Book Antiqua"/>
          <w:sz w:val="24"/>
          <w:szCs w:val="24"/>
        </w:rPr>
        <w:t>of Aliens under the Covenant. 1986.</w:t>
      </w:r>
    </w:p>
    <w:p w:rsidR="006F25A1" w:rsidRPr="000F69C0" w:rsidRDefault="006F25A1" w:rsidP="00F343C6">
      <w:pPr>
        <w:tabs>
          <w:tab w:val="left" w:pos="461"/>
        </w:tabs>
        <w:ind w:left="708"/>
        <w:rPr>
          <w:rFonts w:ascii="Book Antiqua" w:eastAsia="Book Antiqua" w:hAnsi="Book Antiqua" w:cs="Book Antiqua"/>
          <w:sz w:val="24"/>
          <w:szCs w:val="24"/>
        </w:rPr>
      </w:pPr>
    </w:p>
    <w:p w:rsidR="006F25A1" w:rsidRPr="000F69C0" w:rsidRDefault="006F25A1" w:rsidP="00F343C6">
      <w:pPr>
        <w:tabs>
          <w:tab w:val="left" w:pos="461"/>
        </w:tabs>
        <w:ind w:left="708"/>
        <w:rPr>
          <w:rFonts w:ascii="Book Antiqua" w:eastAsia="Book Antiqua" w:hAnsi="Book Antiqua" w:cs="Book Antiqua"/>
          <w:sz w:val="24"/>
          <w:szCs w:val="24"/>
        </w:rPr>
      </w:pPr>
    </w:p>
    <w:sectPr w:rsidR="006F25A1" w:rsidRPr="000F69C0">
      <w:headerReference w:type="default" r:id="rId12"/>
      <w:footerReference w:type="default" r:id="rId13"/>
      <w:headerReference w:type="firs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4BA" w:rsidRDefault="00EC24BA">
      <w:pPr>
        <w:spacing w:after="0" w:line="240" w:lineRule="auto"/>
      </w:pPr>
      <w:r>
        <w:separator/>
      </w:r>
    </w:p>
  </w:endnote>
  <w:endnote w:type="continuationSeparator" w:id="0">
    <w:p w:rsidR="00EC24BA" w:rsidRDefault="00EC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1" w:rsidRDefault="006F25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4BA" w:rsidRDefault="00EC24BA">
      <w:pPr>
        <w:spacing w:after="0" w:line="240" w:lineRule="auto"/>
      </w:pPr>
      <w:r>
        <w:separator/>
      </w:r>
    </w:p>
  </w:footnote>
  <w:footnote w:type="continuationSeparator" w:id="0">
    <w:p w:rsidR="00EC24BA" w:rsidRDefault="00EC24BA">
      <w:pPr>
        <w:spacing w:after="0" w:line="240" w:lineRule="auto"/>
      </w:pPr>
      <w:r>
        <w:continuationSeparator/>
      </w:r>
    </w:p>
  </w:footnote>
  <w:footnote w:id="1">
    <w:p w:rsidR="006F25A1" w:rsidRDefault="00EC24BA">
      <w:pPr>
        <w:spacing w:after="0" w:line="240" w:lineRule="auto"/>
        <w:rPr>
          <w:rFonts w:ascii="Book Antiqua" w:eastAsia="Book Antiqua" w:hAnsi="Book Antiqua" w:cs="Book Antiqua"/>
          <w:sz w:val="20"/>
          <w:szCs w:val="20"/>
        </w:rPr>
      </w:pPr>
      <w:r>
        <w:rPr>
          <w:vertAlign w:val="superscript"/>
        </w:rPr>
        <w:footnoteRef/>
      </w:r>
      <w:r>
        <w:rPr>
          <w:sz w:val="20"/>
          <w:szCs w:val="20"/>
        </w:rPr>
        <w:t xml:space="preserve"> </w:t>
      </w:r>
      <w:r>
        <w:rPr>
          <w:rFonts w:ascii="Book Antiqua" w:eastAsia="Book Antiqua" w:hAnsi="Book Antiqua" w:cs="Book Antiqua"/>
          <w:sz w:val="20"/>
          <w:szCs w:val="20"/>
        </w:rPr>
        <w:t>Sefriani, Hukum Internasional: Suatu Pengantar (Jakarta: PT RajaGrafindo Persada, 2021), 142.</w:t>
      </w:r>
    </w:p>
  </w:footnote>
  <w:footnote w:id="2">
    <w:p w:rsidR="006F25A1" w:rsidRDefault="00EC24BA">
      <w:pPr>
        <w:spacing w:after="0" w:line="240" w:lineRule="auto"/>
        <w:rPr>
          <w:rFonts w:ascii="Book Antiqua" w:eastAsia="Book Antiqua" w:hAnsi="Book Antiqua" w:cs="Book Antiqua"/>
          <w:sz w:val="20"/>
          <w:szCs w:val="20"/>
        </w:rPr>
      </w:pPr>
      <w:r>
        <w:rPr>
          <w:vertAlign w:val="superscript"/>
        </w:rPr>
        <w:footnoteRef/>
      </w:r>
      <w:r>
        <w:rPr>
          <w:sz w:val="20"/>
          <w:szCs w:val="20"/>
        </w:rPr>
        <w:t xml:space="preserve"> </w:t>
      </w:r>
      <w:r>
        <w:rPr>
          <w:rFonts w:ascii="Book Antiqua" w:eastAsia="Book Antiqua" w:hAnsi="Book Antiqua" w:cs="Book Antiqua"/>
          <w:sz w:val="20"/>
          <w:szCs w:val="20"/>
        </w:rPr>
        <w:t xml:space="preserve">Indonesia, Undang-Undang Nomor 6 Tahun 2011 tentang Keimigrasian, Lembaran Negara Republik Indonesia Tahun 2011 </w:t>
      </w:r>
      <w:r>
        <w:rPr>
          <w:rFonts w:ascii="Book Antiqua" w:eastAsia="Book Antiqua" w:hAnsi="Book Antiqua" w:cs="Book Antiqua"/>
          <w:sz w:val="20"/>
          <w:szCs w:val="20"/>
        </w:rPr>
        <w:t>Nomor 52, Pasal 1 angka 32.</w:t>
      </w:r>
    </w:p>
  </w:footnote>
  <w:footnote w:id="3">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M. Alvi Syahrin, "Politik Hukum Keimigrasian Indonesia: Studi Pendekatan Sejarah dan Kontemporer," Neliti Research Repository (2019): 3–7.</w:t>
      </w:r>
    </w:p>
  </w:footnote>
  <w:footnote w:id="4">
    <w:p w:rsidR="006F25A1" w:rsidRDefault="00EC24BA">
      <w:pPr>
        <w:spacing w:after="0" w:line="240" w:lineRule="auto"/>
        <w:rPr>
          <w:rFonts w:ascii="Book Antiqua" w:eastAsia="Book Antiqua" w:hAnsi="Book Antiqua" w:cs="Book Antiqua"/>
          <w:sz w:val="20"/>
          <w:szCs w:val="20"/>
        </w:rPr>
      </w:pPr>
      <w:r>
        <w:rPr>
          <w:vertAlign w:val="superscript"/>
        </w:rPr>
        <w:footnoteRef/>
      </w:r>
      <w:r>
        <w:rPr>
          <w:sz w:val="20"/>
          <w:szCs w:val="20"/>
        </w:rPr>
        <w:t xml:space="preserve"> </w:t>
      </w:r>
      <w:r>
        <w:rPr>
          <w:rFonts w:ascii="Book Antiqua" w:eastAsia="Book Antiqua" w:hAnsi="Book Antiqua" w:cs="Book Antiqua"/>
          <w:sz w:val="20"/>
          <w:szCs w:val="20"/>
        </w:rPr>
        <w:t>Helena Wray, "“A Thing Apart”: Controlling Irregular Male Family Migrants in the UK,"</w:t>
      </w:r>
      <w:r>
        <w:rPr>
          <w:rFonts w:ascii="Book Antiqua" w:eastAsia="Book Antiqua" w:hAnsi="Book Antiqua" w:cs="Book Antiqua"/>
          <w:sz w:val="20"/>
          <w:szCs w:val="20"/>
        </w:rPr>
        <w:t xml:space="preserve"> Men and Masculinities 18, no. 4 (2015): 424–447.</w:t>
      </w:r>
    </w:p>
    <w:p w:rsidR="006F25A1" w:rsidRDefault="006F25A1">
      <w:pPr>
        <w:spacing w:after="0" w:line="240" w:lineRule="auto"/>
        <w:rPr>
          <w:rFonts w:ascii="Book Antiqua" w:eastAsia="Book Antiqua" w:hAnsi="Book Antiqua" w:cs="Book Antiqua"/>
          <w:sz w:val="20"/>
          <w:szCs w:val="20"/>
        </w:rPr>
      </w:pPr>
    </w:p>
  </w:footnote>
  <w:footnote w:id="5">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Sefriani, Hukum Internasional: Suatu Pengantar (Jakarta: PT RajaGrafindo Persada, 2021), 142.</w:t>
      </w:r>
    </w:p>
  </w:footnote>
  <w:footnote w:id="6">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United Nations Human Rights Committee, General Comment No. 15: The Position of Aliens under the Covenant (1986), para. 5.</w:t>
      </w:r>
    </w:p>
  </w:footnote>
  <w:footnote w:id="7">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 xml:space="preserve">Philip Alston and Ryan Goodman, International Human Rights: The Successor to International Human Rights in Context (Oxford: Oxford </w:t>
      </w:r>
      <w:r>
        <w:rPr>
          <w:rFonts w:ascii="Book Antiqua" w:eastAsia="Book Antiqua" w:hAnsi="Book Antiqua" w:cs="Book Antiqua"/>
          <w:sz w:val="20"/>
          <w:szCs w:val="20"/>
        </w:rPr>
        <w:t>University Press, 2013), 1268.</w:t>
      </w:r>
    </w:p>
  </w:footnote>
  <w:footnote w:id="8">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Indonesia, Undang-Undang Dasar Negara Republik Indonesia Tahun 1945, Pasal 1 ayat (2).</w:t>
      </w:r>
    </w:p>
  </w:footnote>
  <w:footnote w:id="9">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Indonesia, Undang-Undang Nomor 6 Tahun 2011 tentang Keimigrasian, Pasal 1 angka 32.</w:t>
      </w:r>
    </w:p>
  </w:footnote>
  <w:footnote w:id="10">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M. Alvi Syahrin, “Politik Hukum Keimigrasian Ind</w:t>
      </w:r>
      <w:r>
        <w:rPr>
          <w:rFonts w:ascii="Book Antiqua" w:eastAsia="Book Antiqua" w:hAnsi="Book Antiqua" w:cs="Book Antiqua"/>
          <w:sz w:val="20"/>
          <w:szCs w:val="20"/>
        </w:rPr>
        <w:t>onesia: Studi Pendekatan Sejarah dan Kontemporer,” Neliti Research Repository (2019): 5.</w:t>
      </w:r>
    </w:p>
  </w:footnote>
  <w:footnote w:id="11">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R. Prameswari dan R. Galingging, “Pengakuan dan Pelindungan Suku Awyu dan Moi Menurut Perspektif Undang-Undang Nomor 12 Tahun 2005,” ADIL: Jurnal Hukum 16, no. 1 (20</w:t>
      </w:r>
      <w:r>
        <w:rPr>
          <w:rFonts w:ascii="Book Antiqua" w:eastAsia="Book Antiqua" w:hAnsi="Book Antiqua" w:cs="Book Antiqua"/>
          <w:sz w:val="20"/>
          <w:szCs w:val="20"/>
        </w:rPr>
        <w:t>25): 135.</w:t>
      </w:r>
    </w:p>
  </w:footnote>
  <w:footnote w:id="12">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M. Machmudi, “Efektifitas Penegakan Hukum Keimigrasian” (Disertasi Doktoral, Universitas Islam Sultan Agung Semarang, 2025), 25.</w:t>
      </w:r>
    </w:p>
  </w:footnote>
  <w:footnote w:id="13">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United Kingdom, Immigration Act 1971, s. 3(5); UK Borders Act 2007, s. 32–33.</w:t>
      </w:r>
    </w:p>
  </w:footnote>
  <w:footnote w:id="14">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Paresh Kathrani, “Immigration and</w:t>
      </w:r>
      <w:r>
        <w:rPr>
          <w:rFonts w:ascii="Book Antiqua" w:eastAsia="Book Antiqua" w:hAnsi="Book Antiqua" w:cs="Book Antiqua"/>
          <w:sz w:val="20"/>
          <w:szCs w:val="20"/>
        </w:rPr>
        <w:t xml:space="preserve"> the Rule of Law,” Journal of Immigration, Asylum and Nationality Law 25, no. 3 (2011): 247–249.</w:t>
      </w:r>
    </w:p>
  </w:footnote>
  <w:footnote w:id="15">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United Kingdom, Human Rights Act 1998, s. 6.</w:t>
      </w:r>
    </w:p>
  </w:footnote>
  <w:footnote w:id="16">
    <w:p w:rsidR="006F25A1" w:rsidRDefault="00EC24BA">
      <w:pPr>
        <w:spacing w:after="0" w:line="240" w:lineRule="auto"/>
        <w:rPr>
          <w:rFonts w:ascii="Book Antiqua" w:eastAsia="Book Antiqua" w:hAnsi="Book Antiqua" w:cs="Book Antiqua"/>
          <w:sz w:val="20"/>
          <w:szCs w:val="20"/>
        </w:rPr>
      </w:pPr>
      <w:r>
        <w:rPr>
          <w:vertAlign w:val="superscript"/>
        </w:rPr>
        <w:footnoteRef/>
      </w:r>
      <w:r>
        <w:rPr>
          <w:rFonts w:ascii="Book Antiqua" w:eastAsia="Book Antiqua" w:hAnsi="Book Antiqua" w:cs="Book Antiqua"/>
          <w:sz w:val="20"/>
          <w:szCs w:val="20"/>
        </w:rPr>
        <w:t xml:space="preserve"> </w:t>
      </w:r>
      <w:r>
        <w:rPr>
          <w:rFonts w:ascii="Book Antiqua" w:eastAsia="Book Antiqua" w:hAnsi="Book Antiqua" w:cs="Book Antiqua"/>
          <w:sz w:val="20"/>
          <w:szCs w:val="20"/>
        </w:rPr>
        <w:t>Helena Wray, “‘A Thing Apart’: Controlling Irregular Male Family Migrants in the UK,” Men and Masculinities 18, no. 4 (2015): 424–447.</w:t>
      </w:r>
    </w:p>
  </w:footnote>
  <w:footnote w:id="17">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 xml:space="preserve">M. Machmudi, "Efektifitas Penegakan Hukum Keimigrasian dalam Tinjauan Pelaksanaan Tindakan Administratif Keimigrasian </w:t>
      </w:r>
      <w:r>
        <w:rPr>
          <w:rFonts w:ascii="Book Antiqua" w:eastAsia="Book Antiqua" w:hAnsi="Book Antiqua" w:cs="Book Antiqua"/>
          <w:sz w:val="20"/>
          <w:szCs w:val="20"/>
        </w:rPr>
        <w:t>dan Pemidanaan (Studi Kasus: Kantor Imigrasi Kelas I Khusus TPI Semarang)" (Disertasi Doktoral, Universitas Islam Sultan Agung Semarang, 2025), hlm.25.</w:t>
      </w:r>
    </w:p>
  </w:footnote>
  <w:footnote w:id="18">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R. Prameswari dan R. Galingging, "Pengakuan dan Pelindungan Suku Awyu dan Moi Menurut Perspektif Undan</w:t>
      </w:r>
      <w:r>
        <w:rPr>
          <w:rFonts w:ascii="Book Antiqua" w:eastAsia="Book Antiqua" w:hAnsi="Book Antiqua" w:cs="Book Antiqua"/>
          <w:sz w:val="20"/>
          <w:szCs w:val="20"/>
        </w:rPr>
        <w:t xml:space="preserve">g-Undang Nomor 12 Tahun 2005 tentang Pengesahan International Covenant on Civil and Political Rights (Kovenan Internasional tentang Hak-Hak Sipil dan Politik)," </w:t>
      </w:r>
      <w:r>
        <w:rPr>
          <w:rFonts w:ascii="Book Antiqua" w:eastAsia="Book Antiqua" w:hAnsi="Book Antiqua" w:cs="Book Antiqua"/>
          <w:i/>
          <w:iCs/>
          <w:sz w:val="20"/>
          <w:szCs w:val="20"/>
        </w:rPr>
        <w:t>ADIL: Jurnal Hukum</w:t>
      </w:r>
      <w:r>
        <w:rPr>
          <w:rFonts w:ascii="Book Antiqua" w:eastAsia="Book Antiqua" w:hAnsi="Book Antiqua" w:cs="Book Antiqua"/>
          <w:sz w:val="20"/>
          <w:szCs w:val="20"/>
        </w:rPr>
        <w:t xml:space="preserve"> 16, no. 1 (2025): hlm. 135.</w:t>
      </w:r>
    </w:p>
  </w:footnote>
  <w:footnote w:id="19">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S. A. Putra, "Evaluasi Penerapan Metode Kampan</w:t>
      </w:r>
      <w:r>
        <w:rPr>
          <w:rFonts w:ascii="Book Antiqua" w:eastAsia="Book Antiqua" w:hAnsi="Book Antiqua" w:cs="Book Antiqua"/>
          <w:sz w:val="20"/>
          <w:szCs w:val="20"/>
        </w:rPr>
        <w:t>ye Pilkada di Masa Pandemi Covid-19 (Studi Kasus Pilkada Lampung Tengah 2020)" (Skripsi/Tesis, [Unila], 2021), 45.</w:t>
      </w:r>
    </w:p>
  </w:footnote>
  <w:footnote w:id="20">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 xml:space="preserve">Paresh Kathrani, "Immigration and the Rule of Law," </w:t>
      </w:r>
      <w:r>
        <w:rPr>
          <w:rFonts w:ascii="Book Antiqua" w:eastAsia="Book Antiqua" w:hAnsi="Book Antiqua" w:cs="Book Antiqua"/>
          <w:i/>
          <w:iCs/>
          <w:sz w:val="20"/>
          <w:szCs w:val="20"/>
        </w:rPr>
        <w:t>Journal of Immigration, Asylum and Nationality Law</w:t>
      </w:r>
      <w:r>
        <w:rPr>
          <w:rFonts w:ascii="Book Antiqua" w:eastAsia="Book Antiqua" w:hAnsi="Book Antiqua" w:cs="Book Antiqua"/>
          <w:sz w:val="20"/>
          <w:szCs w:val="20"/>
        </w:rPr>
        <w:t xml:space="preserve"> 25, no. 3 (2011): 247-249.</w:t>
      </w:r>
    </w:p>
  </w:footnote>
  <w:footnote w:id="21">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Damos D</w:t>
      </w:r>
      <w:r>
        <w:rPr>
          <w:rFonts w:ascii="Book Antiqua" w:eastAsia="Book Antiqua" w:hAnsi="Book Antiqua" w:cs="Book Antiqua"/>
          <w:sz w:val="20"/>
          <w:szCs w:val="20"/>
        </w:rPr>
        <w:t xml:space="preserve">umoli Agusman, </w:t>
      </w:r>
      <w:r>
        <w:rPr>
          <w:rFonts w:ascii="Book Antiqua" w:eastAsia="Book Antiqua" w:hAnsi="Book Antiqua" w:cs="Book Antiqua"/>
          <w:i/>
          <w:iCs/>
          <w:sz w:val="20"/>
          <w:szCs w:val="20"/>
        </w:rPr>
        <w:t>Hukum Perjanjian Internasional: Kajian Teori dan Praktik Indonesia</w:t>
      </w:r>
      <w:r>
        <w:rPr>
          <w:rFonts w:ascii="Book Antiqua" w:eastAsia="Book Antiqua" w:hAnsi="Book Antiqua" w:cs="Book Antiqua"/>
          <w:sz w:val="20"/>
          <w:szCs w:val="20"/>
        </w:rPr>
        <w:t xml:space="preserve"> (Bandung: Refika Aditama, 2010), 58.</w:t>
      </w:r>
    </w:p>
  </w:footnote>
  <w:footnote w:id="22">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i/>
          <w:iCs/>
          <w:sz w:val="20"/>
          <w:szCs w:val="20"/>
        </w:rPr>
        <w:t>Ibid</w:t>
      </w:r>
    </w:p>
  </w:footnote>
  <w:footnote w:id="23">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A. Galang Syafta, "Rekonstruksi Gugatan Warga Negara (Citizen Lawsuit) dalam Mewujudkan Keadilan Bermartabat" (Disertasi, Univer</w:t>
      </w:r>
      <w:r>
        <w:rPr>
          <w:rFonts w:ascii="Book Antiqua" w:eastAsia="Book Antiqua" w:hAnsi="Book Antiqua" w:cs="Book Antiqua"/>
          <w:sz w:val="20"/>
          <w:szCs w:val="20"/>
        </w:rPr>
        <w:t>sitas Lampung, 2026), hlm.112.</w:t>
      </w:r>
      <w:r>
        <w:rPr>
          <w:sz w:val="20"/>
          <w:szCs w:val="20"/>
        </w:rPr>
        <w:t xml:space="preserve"> </w:t>
      </w:r>
    </w:p>
  </w:footnote>
  <w:footnote w:id="24">
    <w:p w:rsidR="006F25A1" w:rsidRDefault="00EC24BA">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F. Abdullah, "Rekonstruksi Regulasi Pelayanan Jasa Keimigrasian Berbasis Nilai Keadilan (Studi tentang Regulasi Pelayanan Jasa Keimigrasian pada Kantor Imigrasi Kelas II TPI Sibolga, Sumatera Utara)" (Disertasi Doktoral, U</w:t>
      </w:r>
      <w:r>
        <w:rPr>
          <w:rFonts w:ascii="Book Antiqua" w:eastAsia="Book Antiqua" w:hAnsi="Book Antiqua" w:cs="Book Antiqua"/>
          <w:sz w:val="20"/>
          <w:szCs w:val="20"/>
        </w:rPr>
        <w:t>niversitas Islam Sultan Agung, 2022), 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p w:rsidR="006F25A1" w:rsidRDefault="00EC24BA">
    <w:pPr>
      <w:tabs>
        <w:tab w:val="center" w:pos="4680"/>
        <w:tab w:val="right" w:pos="9360"/>
      </w:tabs>
      <w:spacing w:after="0" w:line="240" w:lineRule="auto"/>
    </w:pPr>
    <w:r>
      <w:rPr>
        <w:noProof/>
      </w:rPr>
      <mc:AlternateContent>
        <mc:Choice Requires="wps">
          <w:drawing>
            <wp:anchor distT="45720" distB="45720" distL="114300" distR="114300" simplePos="0" relativeHeight="2" behindDoc="0" locked="0" layoutInCell="1" allowOverlap="1">
              <wp:simplePos x="0" y="0"/>
              <wp:positionH relativeFrom="column">
                <wp:posOffset>4313238</wp:posOffset>
              </wp:positionH>
              <wp:positionV relativeFrom="paragraph">
                <wp:posOffset>142558</wp:posOffset>
              </wp:positionV>
              <wp:extent cx="1863089" cy="381000"/>
              <wp:effectExtent l="0" t="0" r="0" b="0"/>
              <wp:wrapSquare wrapText="bothSides"/>
              <wp:docPr id="40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3089" cy="381000"/>
                      </a:xfrm>
                      <a:prstGeom prst="rect">
                        <a:avLst/>
                      </a:prstGeom>
                      <a:ln>
                        <a:noFill/>
                      </a:ln>
                    </wps:spPr>
                    <wps:txbx>
                      <w:txbxContent>
                        <w:p w:rsidR="006F25A1" w:rsidRDefault="00EC24BA">
                          <w:pPr>
                            <w:spacing w:line="255" w:lineRule="auto"/>
                            <w:jc w:val="right"/>
                            <w:textDirection w:val="btLr"/>
                          </w:pPr>
                          <w:r>
                            <w:rPr>
                              <w:rFonts w:ascii="Times New Roman" w:eastAsia="Times New Roman" w:hAnsi="Times New Roman" w:cs="Times New Roman"/>
                              <w:color w:val="FFFFFF"/>
                              <w:sz w:val="32"/>
                            </w:rPr>
                            <w:t>May, 2022</w:t>
                          </w:r>
                        </w:p>
                      </w:txbxContent>
                    </wps:txbx>
                    <wps:bodyPr wrap="square" lIns="91425" tIns="45700" rIns="91425" bIns="45700" anchor="t">
                      <a:prstTxWarp prst="textNoShape">
                        <a:avLst/>
                      </a:prstTxWarp>
                      <a:noAutofit/>
                    </wps:bodyPr>
                  </wps:wsp>
                </a:graphicData>
              </a:graphic>
            </wp:anchor>
          </w:drawing>
        </mc:Choice>
        <mc:Fallback>
          <w:pict>
            <v:rect id="Rectangle 1" o:spid="_x0000_s1037" style="position:absolute;left:0;text-align:left;margin-left:339.65pt;margin-top:11.25pt;width:146.7pt;height:30pt;z-index: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AJy0QEAAJwDAAAOAAAAZHJzL2Uyb0RvYy54bWysU01v2zAMvQ/YfxB0X2ynaZsYcYoBRYcB&#13;&#10;RVesHXZmZCkWpq9JSuz8+1Gyk2XdbdiFEPVo6r1Hen03aEUO3AdpTUOrWUkJN8y20uwa+u314cOS&#13;&#10;khDBtKCs4Q098kDvNu/frXtX87ntrGq5J9jEhLp3De1idHVRBNZxDWFmHTcICus1REz9rmg99Nhd&#13;&#10;q2JeljdFb33rvGU8BLy9H0G6yf2F4Cx+ESLwSFRDkVvM0ee4TbHYrKHeeXCdZBMN+AcWGqTBR8+t&#13;&#10;7iEC2Xv5VystmbfBijhjVhdWCMl41oBqqvKNmpcOHM9a0JzgzjaF/9eWPR2ePZFtQxfl6pYSAxqn&#13;&#10;9BV9A7NTnFTJod6FGgtf3LNPGoN7tOxHQKD4A0lJmGoG4XWqRYVkyHYfz3bzIRKGl9Xy5qpcrihh&#13;&#10;iF0tq7LM8yigPn3tfIifuNUkHRrqkVZ2GQ6PIab3oT6VpMeUSdHYB6nUiKabTHLklRjGYTtMmra2&#13;&#10;PaL6Hsff0PBzD55Toj4b9HdVLebXuC85WVzfIjXiL5HtJQKGdRa3amSXKL0O38G7iXdExU/2NE2o&#13;&#10;39Afa0fqH/fRCpm1JbIjw0kDrkCWPK1r2rHLPFf9/qk2vwAAAP//AwBQSwMEFAAGAAgAAAAhAPOg&#13;&#10;+T3gAAAADgEAAA8AAABkcnMvZG93bnJldi54bWxMTz1PwzAQ3ZH4D9YhsVGngSZtGqdCfAyMpAyM&#13;&#10;bnxNotrnKHba9N9zTLCcdPfevY9yNzsrzjiG3pOC5SIBgdR401Or4Gv//rAGEaImo60nVHDFALvq&#13;&#10;9qbUhfEX+sRzHVvBIhQKraCLcSikDE2HToeFH5AYO/rR6cjr2Eoz6guLOyvTJMmk0z2xQ6cHfOmw&#13;&#10;OdWTUzCgNZN9qpPvRr6NtMw+9vK6Uur+bn7d8njegog4x78P+O3A+aHiYAc/kQnCKsjyzSNTFaTp&#13;&#10;CgQTNnmagzgoWPNBVqX8X6P6AQAA//8DAFBLAQItABQABgAIAAAAIQC2gziS/gAAAOEBAAATAAAA&#13;&#10;AAAAAAAAAAAAAAAAAABbQ29udGVudF9UeXBlc10ueG1sUEsBAi0AFAAGAAgAAAAhADj9If/WAAAA&#13;&#10;lAEAAAsAAAAAAAAAAAAAAAAALwEAAF9yZWxzLy5yZWxzUEsBAi0AFAAGAAgAAAAhAB4wAnLRAQAA&#13;&#10;nAMAAA4AAAAAAAAAAAAAAAAALgIAAGRycy9lMm9Eb2MueG1sUEsBAi0AFAAGAAgAAAAhAPOg+T3g&#13;&#10;AAAADgEAAA8AAAAAAAAAAAAAAAAAKwQAAGRycy9kb3ducmV2LnhtbFBLBQYAAAAABAAEAPMAAAA4&#13;&#10;BQAAAAA=&#13;&#10;" filled="f" stroked="f">
              <v:textbox inset="2.53958mm,1.2694mm,2.53958mm,1.2694mm">
                <w:txbxContent>
                  <w:p w:rsidR="006F25A1" w:rsidRDefault="00EC24BA">
                    <w:pPr>
                      <w:spacing w:line="255" w:lineRule="auto"/>
                      <w:jc w:val="right"/>
                      <w:textDirection w:val="btLr"/>
                    </w:pPr>
                    <w:r>
                      <w:rPr>
                        <w:rFonts w:ascii="Times New Roman" w:eastAsia="Times New Roman" w:hAnsi="Times New Roman" w:cs="Times New Roman"/>
                        <w:color w:val="FFFFFF"/>
                        <w:sz w:val="32"/>
                      </w:rPr>
                      <w:t>May, 2022</w:t>
                    </w:r>
                  </w:p>
                </w:txbxContent>
              </v:textbox>
              <w10:wrap type="square"/>
            </v:rect>
          </w:pict>
        </mc:Fallback>
      </mc:AlternateContent>
    </w:r>
    <w:r>
      <w:rPr>
        <w:noProof/>
      </w:rPr>
      <mc:AlternateContent>
        <mc:Choice Requires="wps">
          <w:drawing>
            <wp:anchor distT="45720" distB="45720" distL="114300" distR="114300" simplePos="0" relativeHeight="3" behindDoc="0" locked="0" layoutInCell="1" allowOverlap="1">
              <wp:simplePos x="0" y="0"/>
              <wp:positionH relativeFrom="column">
                <wp:posOffset>-284160</wp:posOffset>
              </wp:positionH>
              <wp:positionV relativeFrom="paragraph">
                <wp:posOffset>167958</wp:posOffset>
              </wp:positionV>
              <wp:extent cx="2379980" cy="381000"/>
              <wp:effectExtent l="0" t="0" r="0" b="0"/>
              <wp:wrapSquare wrapText="bothSides"/>
              <wp:docPr id="409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381000"/>
                      </a:xfrm>
                      <a:prstGeom prst="rect">
                        <a:avLst/>
                      </a:prstGeom>
                      <a:ln>
                        <a:noFill/>
                      </a:ln>
                    </wps:spPr>
                    <wps:txbx>
                      <w:txbxContent>
                        <w:p w:rsidR="006F25A1" w:rsidRDefault="00EC24BA">
                          <w:pPr>
                            <w:spacing w:line="255" w:lineRule="auto"/>
                            <w:jc w:val="left"/>
                            <w:textDirection w:val="btLr"/>
                          </w:pPr>
                          <w:r>
                            <w:rPr>
                              <w:rFonts w:ascii="Times New Roman" w:eastAsia="Times New Roman" w:hAnsi="Times New Roman" w:cs="Times New Roman"/>
                              <w:color w:val="FFFFFF"/>
                              <w:sz w:val="32"/>
                            </w:rPr>
                            <w:t>Volume 6 Number 1</w:t>
                          </w:r>
                        </w:p>
                      </w:txbxContent>
                    </wps:txbx>
                    <wps:bodyPr wrap="square" lIns="91425" tIns="45700" rIns="91425" bIns="45700" anchor="t">
                      <a:prstTxWarp prst="textNoShape">
                        <a:avLst/>
                      </a:prstTxWarp>
                      <a:noAutofit/>
                    </wps:bodyPr>
                  </wps:wsp>
                </a:graphicData>
              </a:graphic>
            </wp:anchor>
          </w:drawing>
        </mc:Choice>
        <mc:Fallback>
          <w:pict>
            <v:rect id="Rectangle 4" o:spid="_x0000_s1038" style="position:absolute;left:0;text-align:left;margin-left:-22.35pt;margin-top:13.25pt;width:187.4pt;height:30pt;z-index:3;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sZG1AEAAKMDAAAOAAAAZHJzL2Uyb0RvYy54bWysU01v2zAMvQ/YfxB0X2yn6ZoYcYoBRYcB&#13;&#10;RVe0HXZmZCkWpq9JSuz8+1Gyk2XdbdiFEPVo6r1Hen07aEUO3AdpTUOrWUkJN8y20uwa+u31/sOS&#13;&#10;khDBtKCs4Q098kBvN+/frXtX87ntrGq5J9jEhLp3De1idHVRBNZxDWFmHTcICus1REz9rmg99Nhd&#13;&#10;q2Jelh+L3vrWect4CHh7N4J0k/sLwVn8KkTgkaiGIreYo89xm2KxWUO98+A6ySYa8A8sNEiDj55b&#13;&#10;3UEEsvfyr1ZaMm+DFXHGrC6sEJLxrAHVVOUbNS8dOJ61oDnBnW0K/68tezw8eSLbhi7KFc7KgMYp&#13;&#10;PaNvYHaKk0VyqHehxsIX9+STxuAeLPsRECj+QFISpppBeJ1qUSEZst3Hs918iITh5fzqZrVa4lQY&#13;&#10;YlfLqizzPAqoT187H+JnbjVJh4Z6pJVdhsNDiOl9qE8l6TFlUjT2Xio1oukmkxx5JYZx2A5ZcHWS&#13;&#10;trXtEU3ocQsaGn7uwXNK1BeDNq+qxfwa1yYni+sbZEj8JbK9RMCwzuJyjSQTs9fhO3g30Y8o/NGe&#13;&#10;hgr1GxVj7ajg0z5aIbPExHlkOEnBTcjKp61Nq3aZ56rf/9bmFwAAAP//AwBQSwMEFAAGAAgAAAAh&#13;&#10;AB18aabgAAAADgEAAA8AAABkcnMvZG93bnJldi54bWxMTz1vgzAQ3Sv1P1gXqVtiSAiNCCaq+jF0&#13;&#10;LOnQ0cFXQLHPCJuE/Ptep3Y56e69ex/lYXZWXHAMvScF6SoBgdR401Or4PP4ttyBCFGT0dYTKrhh&#13;&#10;gEN1f1fqwvgrfeCljq1gEQqFVtDFOBRShqZDp8PKD0iMffvR6cjr2Eoz6iuLOyvXSZJLp3tih04P&#13;&#10;+Nxhc64np2BAayab1clXI19HSvP3o7xtlXpYzC97Hk97EBHn+PcBvx04P1Qc7OQnMkFYBcsse2Sq&#13;&#10;gnW+BcGEzSZJQZwU7Pggq1L+r1H9AAAA//8DAFBLAQItABQABgAIAAAAIQC2gziS/gAAAOEBAAAT&#13;&#10;AAAAAAAAAAAAAAAAAAAAAABbQ29udGVudF9UeXBlc10ueG1sUEsBAi0AFAAGAAgAAAAhADj9If/W&#13;&#10;AAAAlAEAAAsAAAAAAAAAAAAAAAAALwEAAF9yZWxzLy5yZWxzUEsBAi0AFAAGAAgAAAAhAB1+xkbU&#13;&#10;AQAAowMAAA4AAAAAAAAAAAAAAAAALgIAAGRycy9lMm9Eb2MueG1sUEsBAi0AFAAGAAgAAAAhAB18&#13;&#10;aabgAAAADgEAAA8AAAAAAAAAAAAAAAAALgQAAGRycy9kb3ducmV2LnhtbFBLBQYAAAAABAAEAPMA&#13;&#10;AAA7BQAAAAA=&#13;&#10;" filled="f" stroked="f">
              <v:textbox inset="2.53958mm,1.2694mm,2.53958mm,1.2694mm">
                <w:txbxContent>
                  <w:p w:rsidR="006F25A1" w:rsidRDefault="00EC24BA">
                    <w:pPr>
                      <w:spacing w:line="255" w:lineRule="auto"/>
                      <w:jc w:val="left"/>
                      <w:textDirection w:val="btLr"/>
                    </w:pPr>
                    <w:r>
                      <w:rPr>
                        <w:rFonts w:ascii="Times New Roman" w:eastAsia="Times New Roman" w:hAnsi="Times New Roman" w:cs="Times New Roman"/>
                        <w:color w:val="FFFFFF"/>
                        <w:sz w:val="32"/>
                      </w:rPr>
                      <w:t>Volume 6 Number 1</w:t>
                    </w:r>
                  </w:p>
                </w:txbxContent>
              </v:textbox>
              <w10:wrap type="square"/>
            </v:rect>
          </w:pict>
        </mc:Fallback>
      </mc:AlternateContent>
    </w:r>
  </w:p>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p w:rsidR="006F25A1" w:rsidRDefault="006F25A1">
    <w:pPr>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1" w:rsidRPr="000F69C0" w:rsidRDefault="000F69C0" w:rsidP="000F69C0">
    <w:pPr>
      <w:pStyle w:val="Header"/>
    </w:pPr>
    <w:r>
      <w:rPr>
        <w:rFonts w:ascii="Palatino Linotype" w:eastAsia="Palatino Linotype" w:hAnsi="Palatino Linotype" w:cs="Palatino Linotype"/>
        <w:noProof/>
        <w:sz w:val="24"/>
        <w:szCs w:val="24"/>
      </w:rPr>
      <w:drawing>
        <wp:inline distT="114300" distB="114300" distL="114300" distR="114300" wp14:anchorId="6D4600A6" wp14:editId="3193CE60">
          <wp:extent cx="5971540" cy="1990090"/>
          <wp:effectExtent l="0" t="0" r="0" b="381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5971540" cy="199009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1" w:rsidRDefault="006F25A1">
    <w:pPr>
      <w:widowControl w:val="0"/>
      <w:spacing w:after="0" w:line="276" w:lineRule="auto"/>
      <w:rPr>
        <w:rFonts w:ascii="Palatino Linotype" w:eastAsia="Palatino Linotype" w:hAnsi="Palatino Linotype" w:cs="Palatino Linotype"/>
        <w:sz w:val="24"/>
        <w:szCs w:val="24"/>
      </w:rPr>
    </w:pPr>
  </w:p>
  <w:tbl>
    <w:tblPr>
      <w:tblStyle w:val="a2"/>
      <w:tblW w:w="935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5"/>
      <w:gridCol w:w="4675"/>
    </w:tblGrid>
    <w:tr w:rsidR="006F25A1">
      <w:tc>
        <w:tcPr>
          <w:tcW w:w="4675" w:type="dxa"/>
        </w:tcPr>
        <w:p w:rsidR="006F25A1" w:rsidRDefault="00EC24BA">
          <w:pPr>
            <w:tabs>
              <w:tab w:val="center" w:pos="4680"/>
              <w:tab w:val="right" w:pos="9360"/>
            </w:tabs>
            <w:rPr>
              <w:rFonts w:ascii="Bookman Old Style" w:eastAsia="Bookman Old Style" w:hAnsi="Bookman Old Style" w:cs="Bookman Old Style"/>
              <w:i/>
              <w:iCs/>
              <w:sz w:val="24"/>
              <w:szCs w:val="24"/>
            </w:rPr>
          </w:pPr>
          <w:r>
            <w:rPr>
              <w:rFonts w:ascii="Bookman Old Style" w:eastAsia="Bookman Old Style" w:hAnsi="Bookman Old Style" w:cs="Bookman Old Style"/>
              <w:sz w:val="24"/>
              <w:szCs w:val="24"/>
            </w:rPr>
            <w:t xml:space="preserve">Vol </w:t>
          </w:r>
          <w:r w:rsidR="000F69C0">
            <w:rPr>
              <w:rFonts w:ascii="Bookman Old Style" w:eastAsia="Bookman Old Style" w:hAnsi="Bookman Old Style" w:cs="Bookman Old Style"/>
              <w:sz w:val="24"/>
              <w:szCs w:val="24"/>
            </w:rPr>
            <w:t>2 (2)</w:t>
          </w:r>
          <w:r>
            <w:rPr>
              <w:rFonts w:ascii="Bookman Old Style" w:eastAsia="Bookman Old Style" w:hAnsi="Bookman Old Style" w:cs="Bookman Old Style"/>
              <w:sz w:val="24"/>
              <w:szCs w:val="24"/>
            </w:rPr>
            <w:t xml:space="preserve"> </w:t>
          </w:r>
          <w:r w:rsidR="000F69C0">
            <w:rPr>
              <w:rFonts w:ascii="Bookman Old Style" w:eastAsia="Bookman Old Style" w:hAnsi="Bookman Old Style" w:cs="Bookman Old Style"/>
              <w:sz w:val="24"/>
              <w:szCs w:val="24"/>
            </w:rPr>
            <w:t>May-August</w:t>
          </w:r>
          <w:r>
            <w:rPr>
              <w:rFonts w:ascii="Bookman Old Style" w:eastAsia="Bookman Old Style" w:hAnsi="Bookman Old Style" w:cs="Bookman Old Style"/>
              <w:sz w:val="24"/>
              <w:szCs w:val="24"/>
            </w:rPr>
            <w:t xml:space="preserve">, </w:t>
          </w:r>
          <w:r w:rsidR="000F69C0">
            <w:rPr>
              <w:rFonts w:ascii="Bookman Old Style" w:eastAsia="Bookman Old Style" w:hAnsi="Bookman Old Style" w:cs="Bookman Old Style"/>
              <w:sz w:val="24"/>
              <w:szCs w:val="24"/>
            </w:rPr>
            <w:t>2026</w:t>
          </w:r>
        </w:p>
      </w:tc>
      <w:tc>
        <w:tcPr>
          <w:tcW w:w="4675" w:type="dxa"/>
        </w:tcPr>
        <w:p w:rsidR="006F25A1" w:rsidRDefault="006F25A1">
          <w:pPr>
            <w:tabs>
              <w:tab w:val="center" w:pos="4680"/>
              <w:tab w:val="right" w:pos="9360"/>
            </w:tabs>
            <w:jc w:val="right"/>
            <w:rPr>
              <w:rFonts w:ascii="Bookman Old Style" w:eastAsia="Bookman Old Style" w:hAnsi="Bookman Old Style" w:cs="Bookman Old Style"/>
              <w:sz w:val="24"/>
              <w:szCs w:val="24"/>
            </w:rPr>
          </w:pPr>
        </w:p>
      </w:tc>
    </w:tr>
  </w:tbl>
  <w:p w:rsidR="006F25A1" w:rsidRDefault="006F25A1">
    <w:pPr>
      <w:tabs>
        <w:tab w:val="center" w:pos="4680"/>
        <w:tab w:val="right" w:pos="9360"/>
      </w:tabs>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1" w:rsidRDefault="00EC24BA">
    <w:pPr>
      <w:tabs>
        <w:tab w:val="center" w:pos="4680"/>
        <w:tab w:val="right" w:pos="9360"/>
      </w:tabs>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noProof/>
        <w:sz w:val="24"/>
        <w:szCs w:val="24"/>
      </w:rPr>
      <w:drawing>
        <wp:inline distT="0" distB="0" distL="0" distR="0">
          <wp:extent cx="5971540" cy="1993900"/>
          <wp:effectExtent l="0" t="0" r="0" b="0"/>
          <wp:docPr id="2"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cstate="print"/>
                  <a:srcRect/>
                  <a:stretch/>
                </pic:blipFill>
                <pic:spPr>
                  <a:xfrm>
                    <a:off x="0" y="0"/>
                    <a:ext cx="5971540" cy="1993900"/>
                  </a:xfrm>
                  <a:prstGeom prst="rect">
                    <a:avLst/>
                  </a:prstGeom>
                  <a:ln w="9525" cap="flat" cmpd="sng">
                    <a:solidFill>
                      <a:srgbClr val="000000"/>
                    </a:solidFill>
                    <a:prstDash val="solid"/>
                    <a:round/>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1"/>
    <w:multiLevelType w:val="multilevel"/>
    <w:tmpl w:val="FFFFFFF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0000002"/>
    <w:multiLevelType w:val="multilevel"/>
    <w:tmpl w:val="FFFFFFFF"/>
    <w:lvl w:ilvl="0">
      <w:start w:val="1"/>
      <w:numFmt w:val="upperLetter"/>
      <w:lvlText w:val="%1."/>
      <w:lvlJc w:val="left"/>
      <w:pPr>
        <w:ind w:left="360" w:hanging="360"/>
      </w:pPr>
      <w:rPr>
        <w:b/>
        <w:bCs/>
        <w:color w:val="00000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0000003"/>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04"/>
    <w:multiLevelType w:val="multilevel"/>
    <w:tmpl w:val="FFFFFFFF"/>
    <w:lvl w:ilvl="0">
      <w:start w:val="1"/>
      <w:numFmt w:val="lowerRoman"/>
      <w:lvlText w:val="%1."/>
      <w:lvlJc w:val="righ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 w15:restartNumberingAfterBreak="0">
    <w:nsid w:val="00000005"/>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00000006"/>
    <w:multiLevelType w:val="multilevel"/>
    <w:tmpl w:val="FFFFFFFF"/>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abstractNumId w:val="2"/>
  </w:num>
  <w:num w:numId="2">
    <w:abstractNumId w:val="0"/>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5A1"/>
    <w:rsid w:val="000F69C0"/>
    <w:rsid w:val="006F25A1"/>
    <w:rsid w:val="007D5D17"/>
    <w:rsid w:val="00EC24BA"/>
    <w:rsid w:val="00F343C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BEE6"/>
  <w15:docId w15:val="{08130E1E-B019-7A4E-A5F0-AF28DA10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ID" w:eastAsia="en-US"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style>
  <w:style w:type="paragraph" w:styleId="Heading1">
    <w:name w:val="heading 1"/>
    <w:basedOn w:val="Normal"/>
    <w:next w:val="Normal"/>
    <w:uiPriority w:val="9"/>
    <w:qFormat/>
    <w:pPr>
      <w:widowControl w:val="0"/>
      <w:spacing w:after="0" w:line="240" w:lineRule="auto"/>
      <w:ind w:left="460" w:hanging="361"/>
      <w:outlineLvl w:val="0"/>
    </w:pPr>
    <w:rPr>
      <w:rFonts w:ascii="Palatino Linotype" w:eastAsia="Palatino Linotype" w:hAnsi="Palatino Linotype" w:cs="Palatino Linotype"/>
      <w:b/>
      <w:bCs/>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0F6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9C0"/>
  </w:style>
  <w:style w:type="paragraph" w:styleId="Footer">
    <w:name w:val="footer"/>
    <w:basedOn w:val="Normal"/>
    <w:link w:val="FooterChar"/>
    <w:uiPriority w:val="99"/>
    <w:unhideWhenUsed/>
    <w:rsid w:val="000F6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9C0"/>
  </w:style>
  <w:style w:type="character" w:styleId="PageNumber">
    <w:name w:val="page number"/>
    <w:basedOn w:val="DefaultParagraphFont"/>
    <w:uiPriority w:val="99"/>
    <w:semiHidden/>
    <w:unhideWhenUsed/>
    <w:rsid w:val="000F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2310611327@mahasiswa.upnvj.ac.i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2310611326@mahasiswa.upnvj.ac.id"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2310611322@mahasiswa.upnvj.ac.id" TargetMode="Externa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3872</Words>
  <Characters>22072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Microsoft Office User</cp:lastModifiedBy>
  <cp:revision>2</cp:revision>
  <dcterms:created xsi:type="dcterms:W3CDTF">2026-09-04T13:37:00Z</dcterms:created>
  <dcterms:modified xsi:type="dcterms:W3CDTF">2026-09-04T13:37:00Z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cd1bc8c801934c06bb2af7abab8812cd_23</vt:lpwstr>
  </property>
</Properties>
</file>